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B52B18" w14:textId="4DED085F" w:rsidR="00C95388" w:rsidRPr="00435155" w:rsidRDefault="00D56FD9">
      <w:pPr>
        <w:rPr>
          <w:sz w:val="22"/>
          <w:szCs w:val="22"/>
          <w:lang w:val="pt-BR"/>
        </w:rPr>
      </w:pPr>
      <w:r w:rsidRPr="00435155">
        <w:rPr>
          <w:sz w:val="22"/>
          <w:szCs w:val="22"/>
          <w:lang w:val="pt-BR"/>
        </w:rPr>
        <w:t>Título:</w:t>
      </w:r>
      <w:r w:rsidR="008506F9" w:rsidRPr="00435155">
        <w:rPr>
          <w:sz w:val="22"/>
          <w:szCs w:val="22"/>
          <w:lang w:val="pt-BR"/>
        </w:rPr>
        <w:t xml:space="preserve"> Ciclos de Diálogos: Lições sobre Engajamento em Projetos de Ciência Cidadã no Brasil</w:t>
      </w:r>
    </w:p>
    <w:p w14:paraId="7041754C" w14:textId="77777777" w:rsidR="00D56FD9" w:rsidRPr="00435155" w:rsidRDefault="00D56FD9">
      <w:pPr>
        <w:rPr>
          <w:sz w:val="22"/>
          <w:szCs w:val="22"/>
          <w:lang w:val="pt-BR"/>
        </w:rPr>
      </w:pPr>
    </w:p>
    <w:p w14:paraId="523AFFD9" w14:textId="2B1D4C85" w:rsidR="00D56FD9" w:rsidRPr="00435155" w:rsidRDefault="00D56FD9">
      <w:pPr>
        <w:rPr>
          <w:sz w:val="22"/>
          <w:szCs w:val="22"/>
          <w:lang w:val="pt-BR"/>
        </w:rPr>
      </w:pPr>
      <w:r w:rsidRPr="00435155">
        <w:rPr>
          <w:sz w:val="22"/>
          <w:szCs w:val="22"/>
          <w:lang w:val="pt-BR"/>
        </w:rPr>
        <w:t>Autores:</w:t>
      </w:r>
    </w:p>
    <w:p w14:paraId="3328B06E" w14:textId="77777777" w:rsidR="00C149D1" w:rsidRPr="00435155" w:rsidRDefault="00C149D1" w:rsidP="00C149D1">
      <w:pPr>
        <w:pStyle w:val="NormalWeb"/>
        <w:spacing w:before="240" w:beforeAutospacing="0" w:after="240" w:afterAutospacing="0"/>
        <w:rPr>
          <w:color w:val="000000"/>
          <w:sz w:val="22"/>
          <w:szCs w:val="22"/>
          <w:lang w:val="pt-BR"/>
        </w:rPr>
      </w:pPr>
      <w:r w:rsidRPr="00435155">
        <w:rPr>
          <w:color w:val="000000"/>
          <w:sz w:val="22"/>
          <w:szCs w:val="22"/>
          <w:lang w:val="pt-BR"/>
        </w:rPr>
        <w:t>Julianna Toyota Arita</w:t>
      </w:r>
    </w:p>
    <w:p w14:paraId="3B0546D9" w14:textId="144D149A" w:rsidR="00C149D1" w:rsidRPr="00435155" w:rsidRDefault="00C149D1" w:rsidP="00C149D1">
      <w:pPr>
        <w:pStyle w:val="NormalWeb"/>
        <w:spacing w:before="240" w:beforeAutospacing="0" w:after="240" w:afterAutospacing="0"/>
        <w:rPr>
          <w:color w:val="000000"/>
          <w:sz w:val="22"/>
          <w:szCs w:val="22"/>
          <w:lang w:val="pt-BR"/>
        </w:rPr>
      </w:pPr>
      <w:r w:rsidRPr="00435155">
        <w:rPr>
          <w:color w:val="000000"/>
          <w:sz w:val="22"/>
          <w:szCs w:val="22"/>
          <w:lang w:val="pt-BR"/>
        </w:rPr>
        <w:t>Instituto Nacional de Ciência Cidadã</w:t>
      </w:r>
      <w:r w:rsidR="00013EFC">
        <w:rPr>
          <w:color w:val="000000"/>
          <w:sz w:val="22"/>
          <w:szCs w:val="22"/>
          <w:lang w:val="pt-BR"/>
        </w:rPr>
        <w:t xml:space="preserve"> (IBICT)</w:t>
      </w:r>
      <w:r w:rsidRPr="00435155">
        <w:rPr>
          <w:color w:val="000000"/>
          <w:sz w:val="22"/>
          <w:szCs w:val="22"/>
          <w:lang w:val="pt-BR"/>
        </w:rPr>
        <w:t>, Brasil</w:t>
      </w:r>
    </w:p>
    <w:p w14:paraId="547BD955" w14:textId="77777777" w:rsidR="00C149D1" w:rsidRPr="00435155" w:rsidRDefault="00C149D1" w:rsidP="00C149D1">
      <w:pPr>
        <w:pStyle w:val="NormalWeb"/>
        <w:spacing w:before="240" w:beforeAutospacing="0" w:after="240" w:afterAutospacing="0"/>
        <w:rPr>
          <w:color w:val="000000"/>
          <w:sz w:val="22"/>
          <w:szCs w:val="22"/>
          <w:lang w:val="pt-BR"/>
        </w:rPr>
      </w:pPr>
      <w:r w:rsidRPr="00435155">
        <w:rPr>
          <w:color w:val="000000"/>
          <w:sz w:val="22"/>
          <w:szCs w:val="22"/>
          <w:lang w:val="pt-BR"/>
        </w:rPr>
        <w:t xml:space="preserve">E-mail: </w:t>
      </w:r>
      <w:hyperlink r:id="rId6" w:history="1">
        <w:r w:rsidRPr="00435155">
          <w:rPr>
            <w:rStyle w:val="Hyperlink"/>
            <w:rFonts w:eastAsiaTheme="majorEastAsia"/>
            <w:color w:val="1155CC"/>
            <w:sz w:val="22"/>
            <w:szCs w:val="22"/>
            <w:lang w:val="pt-BR"/>
          </w:rPr>
          <w:t>julianna.toyota@gmail.com</w:t>
        </w:r>
      </w:hyperlink>
    </w:p>
    <w:p w14:paraId="2E4D7E4D" w14:textId="77777777" w:rsidR="00C149D1" w:rsidRPr="00435155" w:rsidRDefault="00C149D1" w:rsidP="00C149D1">
      <w:pPr>
        <w:pStyle w:val="NormalWeb"/>
        <w:spacing w:before="240" w:beforeAutospacing="0" w:after="240" w:afterAutospacing="0"/>
        <w:rPr>
          <w:color w:val="000000"/>
          <w:sz w:val="22"/>
          <w:szCs w:val="22"/>
          <w:lang w:val="pt-BR"/>
        </w:rPr>
      </w:pPr>
      <w:hyperlink r:id="rId7" w:history="1">
        <w:r w:rsidRPr="00435155">
          <w:rPr>
            <w:rStyle w:val="Hyperlink"/>
            <w:rFonts w:eastAsiaTheme="majorEastAsia"/>
            <w:color w:val="1155CC"/>
            <w:sz w:val="22"/>
            <w:szCs w:val="22"/>
            <w:lang w:val="pt-BR"/>
          </w:rPr>
          <w:t>https://orcid.org/0009-0009-4180-8595</w:t>
        </w:r>
      </w:hyperlink>
    </w:p>
    <w:p w14:paraId="23A38D3B" w14:textId="77777777" w:rsidR="00C149D1" w:rsidRDefault="00C149D1" w:rsidP="004C1574">
      <w:pPr>
        <w:pStyle w:val="NormalWeb"/>
        <w:spacing w:before="240" w:beforeAutospacing="0" w:after="240" w:afterAutospacing="0"/>
        <w:rPr>
          <w:color w:val="000000"/>
          <w:sz w:val="22"/>
          <w:szCs w:val="22"/>
          <w:lang w:val="pt-BR"/>
        </w:rPr>
      </w:pPr>
    </w:p>
    <w:p w14:paraId="0734DFB9" w14:textId="6DF32371" w:rsidR="004C1574" w:rsidRPr="00435155" w:rsidRDefault="004C1574" w:rsidP="004C1574">
      <w:pPr>
        <w:pStyle w:val="NormalWeb"/>
        <w:spacing w:before="240" w:beforeAutospacing="0" w:after="240" w:afterAutospacing="0"/>
        <w:rPr>
          <w:color w:val="000000"/>
          <w:sz w:val="22"/>
          <w:szCs w:val="22"/>
          <w:lang w:val="pt-BR"/>
        </w:rPr>
      </w:pPr>
      <w:r w:rsidRPr="00435155">
        <w:rPr>
          <w:color w:val="000000"/>
          <w:sz w:val="22"/>
          <w:szCs w:val="22"/>
          <w:lang w:val="pt-BR"/>
        </w:rPr>
        <w:t>Jeferson Gabriel da Encarnação Coutinho</w:t>
      </w:r>
    </w:p>
    <w:p w14:paraId="12777A07" w14:textId="77777777" w:rsidR="004C1574" w:rsidRPr="00435155" w:rsidRDefault="004C1574" w:rsidP="004C1574">
      <w:pPr>
        <w:pStyle w:val="NormalWeb"/>
        <w:spacing w:before="240" w:beforeAutospacing="0" w:after="240" w:afterAutospacing="0"/>
        <w:rPr>
          <w:color w:val="000000"/>
          <w:sz w:val="22"/>
          <w:szCs w:val="22"/>
          <w:lang w:val="pt-BR"/>
        </w:rPr>
      </w:pPr>
      <w:r w:rsidRPr="00435155">
        <w:rPr>
          <w:color w:val="000000"/>
          <w:sz w:val="22"/>
          <w:szCs w:val="22"/>
          <w:lang w:val="pt-BR"/>
        </w:rPr>
        <w:t>Instituto Federal de Educação, Ciência e Tecnologia da Bahia, Instituto Nacional de Ciência Cidadã, Brasil</w:t>
      </w:r>
    </w:p>
    <w:p w14:paraId="0C910C67" w14:textId="77777777" w:rsidR="004C1574" w:rsidRPr="00435155" w:rsidRDefault="004C1574" w:rsidP="004C1574">
      <w:pPr>
        <w:pStyle w:val="NormalWeb"/>
        <w:spacing w:before="240" w:beforeAutospacing="0" w:after="240" w:afterAutospacing="0"/>
        <w:rPr>
          <w:color w:val="000000"/>
          <w:sz w:val="22"/>
          <w:szCs w:val="22"/>
          <w:lang w:val="pt-BR"/>
        </w:rPr>
      </w:pPr>
      <w:r w:rsidRPr="00435155">
        <w:rPr>
          <w:color w:val="000000"/>
          <w:sz w:val="22"/>
          <w:szCs w:val="22"/>
          <w:lang w:val="pt-BR"/>
        </w:rPr>
        <w:t xml:space="preserve">E-mail: </w:t>
      </w:r>
      <w:hyperlink r:id="rId8" w:history="1">
        <w:r w:rsidRPr="00435155">
          <w:rPr>
            <w:rStyle w:val="Hyperlink"/>
            <w:rFonts w:eastAsiaTheme="majorEastAsia"/>
            <w:color w:val="1155CC"/>
            <w:sz w:val="22"/>
            <w:szCs w:val="22"/>
            <w:lang w:val="pt-BR"/>
          </w:rPr>
          <w:t>jeferson.gabriel@gmail.com</w:t>
        </w:r>
      </w:hyperlink>
    </w:p>
    <w:p w14:paraId="33958530" w14:textId="77777777" w:rsidR="004C1574" w:rsidRPr="00435155" w:rsidRDefault="004C1574" w:rsidP="004C1574">
      <w:pPr>
        <w:pStyle w:val="NormalWeb"/>
        <w:spacing w:before="240" w:beforeAutospacing="0" w:after="240" w:afterAutospacing="0"/>
        <w:rPr>
          <w:color w:val="000000"/>
          <w:sz w:val="22"/>
          <w:szCs w:val="22"/>
          <w:lang w:val="pt-BR"/>
        </w:rPr>
      </w:pPr>
      <w:hyperlink r:id="rId9" w:history="1">
        <w:r w:rsidRPr="00435155">
          <w:rPr>
            <w:rStyle w:val="Hyperlink"/>
            <w:rFonts w:eastAsiaTheme="majorEastAsia"/>
            <w:color w:val="000000"/>
            <w:sz w:val="22"/>
            <w:szCs w:val="22"/>
            <w:lang w:val="pt-BR"/>
          </w:rPr>
          <w:t> </w:t>
        </w:r>
        <w:r w:rsidRPr="00435155">
          <w:rPr>
            <w:rStyle w:val="Hyperlink"/>
            <w:rFonts w:eastAsiaTheme="majorEastAsia"/>
            <w:color w:val="1155CC"/>
            <w:sz w:val="22"/>
            <w:szCs w:val="22"/>
            <w:lang w:val="pt-BR"/>
          </w:rPr>
          <w:t>https://orcid.org/0000-0002-0694-0760</w:t>
        </w:r>
      </w:hyperlink>
    </w:p>
    <w:p w14:paraId="14C6F1FF" w14:textId="63B75894" w:rsidR="004C1574" w:rsidRPr="00435155" w:rsidRDefault="004C1574" w:rsidP="004C1574">
      <w:pPr>
        <w:pStyle w:val="NormalWeb"/>
        <w:spacing w:before="240" w:beforeAutospacing="0" w:after="240" w:afterAutospacing="0"/>
        <w:rPr>
          <w:color w:val="000000"/>
          <w:sz w:val="22"/>
          <w:szCs w:val="22"/>
          <w:lang w:val="pt-BR"/>
        </w:rPr>
      </w:pPr>
      <w:r w:rsidRPr="00435155">
        <w:rPr>
          <w:color w:val="000000"/>
          <w:sz w:val="22"/>
          <w:szCs w:val="22"/>
          <w:lang w:val="pt-BR"/>
        </w:rPr>
        <w:t>  </w:t>
      </w:r>
    </w:p>
    <w:p w14:paraId="2F3E741E" w14:textId="77777777" w:rsidR="004C1574" w:rsidRPr="00435155" w:rsidRDefault="004C1574" w:rsidP="004C1574">
      <w:pPr>
        <w:pStyle w:val="NormalWeb"/>
        <w:spacing w:before="240" w:beforeAutospacing="0" w:after="240" w:afterAutospacing="0"/>
        <w:rPr>
          <w:color w:val="000000"/>
          <w:sz w:val="22"/>
          <w:szCs w:val="22"/>
          <w:lang w:val="pt-BR"/>
        </w:rPr>
      </w:pPr>
      <w:r w:rsidRPr="00435155">
        <w:rPr>
          <w:color w:val="000000"/>
          <w:sz w:val="22"/>
          <w:szCs w:val="22"/>
          <w:lang w:val="pt-BR"/>
        </w:rPr>
        <w:t>Blandina Felipe Viana, Universidade Federal da Bahia; Instituto Nacional de Ciência Cidadã, Brasil</w:t>
      </w:r>
    </w:p>
    <w:p w14:paraId="09F96A62" w14:textId="77777777" w:rsidR="004C1574" w:rsidRPr="00435155" w:rsidRDefault="004C1574" w:rsidP="004C1574">
      <w:pPr>
        <w:pStyle w:val="NormalWeb"/>
        <w:spacing w:before="240" w:beforeAutospacing="0" w:after="240" w:afterAutospacing="0"/>
        <w:rPr>
          <w:color w:val="000000"/>
          <w:sz w:val="22"/>
          <w:szCs w:val="22"/>
          <w:lang w:val="pt-BR"/>
        </w:rPr>
      </w:pPr>
      <w:r w:rsidRPr="00435155">
        <w:rPr>
          <w:color w:val="000000"/>
          <w:sz w:val="22"/>
          <w:szCs w:val="22"/>
          <w:lang w:val="pt-BR"/>
        </w:rPr>
        <w:t xml:space="preserve">E-mail: </w:t>
      </w:r>
      <w:hyperlink r:id="rId10" w:history="1">
        <w:r w:rsidRPr="00435155">
          <w:rPr>
            <w:rStyle w:val="Hyperlink"/>
            <w:rFonts w:eastAsiaTheme="majorEastAsia"/>
            <w:color w:val="1155CC"/>
            <w:sz w:val="22"/>
            <w:szCs w:val="22"/>
            <w:lang w:val="pt-BR"/>
          </w:rPr>
          <w:t>blande.viana@gmail.com</w:t>
        </w:r>
      </w:hyperlink>
    </w:p>
    <w:p w14:paraId="4072F004" w14:textId="77777777" w:rsidR="004C1574" w:rsidRPr="00435155" w:rsidRDefault="004C1574" w:rsidP="004C1574">
      <w:pPr>
        <w:pStyle w:val="NormalWeb"/>
        <w:spacing w:before="240" w:beforeAutospacing="0" w:after="240" w:afterAutospacing="0"/>
        <w:rPr>
          <w:color w:val="000000"/>
          <w:sz w:val="22"/>
          <w:szCs w:val="22"/>
          <w:lang w:val="pt-BR"/>
        </w:rPr>
      </w:pPr>
      <w:hyperlink r:id="rId11" w:history="1">
        <w:r w:rsidRPr="00435155">
          <w:rPr>
            <w:rStyle w:val="Hyperlink"/>
            <w:rFonts w:eastAsiaTheme="majorEastAsia"/>
            <w:color w:val="1155CC"/>
            <w:sz w:val="22"/>
            <w:szCs w:val="22"/>
            <w:lang w:val="pt-BR"/>
          </w:rPr>
          <w:t>https://orcid.org/0000-0002-4924-1257</w:t>
        </w:r>
      </w:hyperlink>
    </w:p>
    <w:p w14:paraId="7C1B0937" w14:textId="77777777" w:rsidR="00C149D1" w:rsidRDefault="00C149D1" w:rsidP="00C149D1">
      <w:pPr>
        <w:pStyle w:val="NormalWeb"/>
        <w:spacing w:before="240" w:beforeAutospacing="0" w:after="240" w:afterAutospacing="0"/>
        <w:rPr>
          <w:color w:val="000000"/>
          <w:sz w:val="22"/>
          <w:szCs w:val="22"/>
          <w:lang w:val="pt-BR"/>
        </w:rPr>
      </w:pPr>
    </w:p>
    <w:p w14:paraId="366BF1D8" w14:textId="750E0879" w:rsidR="00C149D1" w:rsidRPr="00435155" w:rsidRDefault="00C149D1" w:rsidP="00C149D1">
      <w:pPr>
        <w:pStyle w:val="NormalWeb"/>
        <w:spacing w:before="240" w:beforeAutospacing="0" w:after="240" w:afterAutospacing="0"/>
        <w:rPr>
          <w:color w:val="000000"/>
          <w:sz w:val="22"/>
          <w:szCs w:val="22"/>
          <w:lang w:val="pt-BR"/>
        </w:rPr>
      </w:pPr>
      <w:r w:rsidRPr="00435155">
        <w:rPr>
          <w:color w:val="000000"/>
          <w:sz w:val="22"/>
          <w:szCs w:val="22"/>
          <w:lang w:val="pt-BR"/>
        </w:rPr>
        <w:t xml:space="preserve">Allan Yu </w:t>
      </w:r>
      <w:proofErr w:type="spellStart"/>
      <w:r w:rsidRPr="00435155">
        <w:rPr>
          <w:color w:val="000000"/>
          <w:sz w:val="22"/>
          <w:szCs w:val="22"/>
          <w:lang w:val="pt-BR"/>
        </w:rPr>
        <w:t>Iwama</w:t>
      </w:r>
      <w:proofErr w:type="spellEnd"/>
    </w:p>
    <w:p w14:paraId="6629AC34" w14:textId="77777777" w:rsidR="00C149D1" w:rsidRPr="00435155" w:rsidRDefault="00C149D1" w:rsidP="00C149D1">
      <w:pPr>
        <w:pStyle w:val="NormalWeb"/>
        <w:spacing w:before="240" w:beforeAutospacing="0" w:after="240" w:afterAutospacing="0"/>
        <w:rPr>
          <w:color w:val="000000"/>
          <w:sz w:val="22"/>
          <w:szCs w:val="22"/>
          <w:lang w:val="pt-BR"/>
        </w:rPr>
      </w:pPr>
      <w:r w:rsidRPr="00435155">
        <w:rPr>
          <w:color w:val="000000"/>
          <w:sz w:val="22"/>
          <w:szCs w:val="22"/>
          <w:lang w:val="pt-BR"/>
        </w:rPr>
        <w:t>Centro Nacional de Monitoramento e Alerta a Desastres Naturais (CEMADEN); Instituto Nacional de Ciência Cidadã, Brasil</w:t>
      </w:r>
    </w:p>
    <w:p w14:paraId="67C044B1" w14:textId="77777777" w:rsidR="00C149D1" w:rsidRPr="00435155" w:rsidRDefault="00C149D1" w:rsidP="00C149D1">
      <w:pPr>
        <w:pStyle w:val="NormalWeb"/>
        <w:spacing w:before="240" w:beforeAutospacing="0" w:after="240" w:afterAutospacing="0"/>
        <w:rPr>
          <w:color w:val="000000"/>
          <w:sz w:val="22"/>
          <w:szCs w:val="22"/>
          <w:lang w:val="pt-BR"/>
        </w:rPr>
      </w:pPr>
      <w:r w:rsidRPr="00435155">
        <w:rPr>
          <w:color w:val="000000"/>
          <w:sz w:val="22"/>
          <w:szCs w:val="22"/>
          <w:lang w:val="pt-BR"/>
        </w:rPr>
        <w:t xml:space="preserve">E-mail: </w:t>
      </w:r>
      <w:hyperlink r:id="rId12" w:history="1">
        <w:r w:rsidRPr="00435155">
          <w:rPr>
            <w:rStyle w:val="Hyperlink"/>
            <w:rFonts w:eastAsiaTheme="majorEastAsia"/>
            <w:color w:val="1155CC"/>
            <w:sz w:val="22"/>
            <w:szCs w:val="22"/>
            <w:lang w:val="pt-BR"/>
          </w:rPr>
          <w:t>allan.iwama@gmail.com</w:t>
        </w:r>
      </w:hyperlink>
    </w:p>
    <w:p w14:paraId="56183987" w14:textId="77777777" w:rsidR="00C149D1" w:rsidRPr="00435155" w:rsidRDefault="00C149D1" w:rsidP="00C149D1">
      <w:pPr>
        <w:pStyle w:val="NormalWeb"/>
        <w:spacing w:before="240" w:beforeAutospacing="0" w:after="240" w:afterAutospacing="0"/>
        <w:rPr>
          <w:color w:val="000000"/>
          <w:sz w:val="22"/>
          <w:szCs w:val="22"/>
          <w:lang w:val="pt-BR"/>
        </w:rPr>
      </w:pPr>
      <w:hyperlink r:id="rId13" w:history="1">
        <w:r w:rsidRPr="00435155">
          <w:rPr>
            <w:rStyle w:val="Hyperlink"/>
            <w:rFonts w:eastAsiaTheme="majorEastAsia"/>
            <w:color w:val="000000"/>
            <w:sz w:val="22"/>
            <w:szCs w:val="22"/>
            <w:lang w:val="pt-BR"/>
          </w:rPr>
          <w:t> </w:t>
        </w:r>
        <w:r w:rsidRPr="00435155">
          <w:rPr>
            <w:rStyle w:val="Hyperlink"/>
            <w:rFonts w:eastAsiaTheme="majorEastAsia"/>
            <w:color w:val="1155CC"/>
            <w:sz w:val="22"/>
            <w:szCs w:val="22"/>
            <w:lang w:val="pt-BR"/>
          </w:rPr>
          <w:t>https://orcid.org/0000-0003-1707-8392</w:t>
        </w:r>
      </w:hyperlink>
    </w:p>
    <w:p w14:paraId="208EA4FB" w14:textId="3565588F" w:rsidR="008506F9" w:rsidRPr="009F5982" w:rsidRDefault="008506F9">
      <w:pPr>
        <w:rPr>
          <w:sz w:val="22"/>
          <w:szCs w:val="22"/>
          <w:lang w:val="pt-BR"/>
        </w:rPr>
      </w:pPr>
    </w:p>
    <w:p w14:paraId="1AE233A8" w14:textId="77777777" w:rsidR="008506F9" w:rsidRPr="00435155" w:rsidRDefault="008506F9">
      <w:pPr>
        <w:rPr>
          <w:sz w:val="22"/>
          <w:szCs w:val="22"/>
          <w:lang w:val="pt-BR"/>
        </w:rPr>
      </w:pPr>
    </w:p>
    <w:p w14:paraId="6467FAD5" w14:textId="25BDCB89" w:rsidR="00D56FD9" w:rsidRPr="00435155" w:rsidRDefault="00D56FD9">
      <w:pPr>
        <w:rPr>
          <w:sz w:val="22"/>
          <w:szCs w:val="22"/>
          <w:lang w:val="pt-BR"/>
        </w:rPr>
      </w:pPr>
      <w:r w:rsidRPr="00435155">
        <w:rPr>
          <w:sz w:val="22"/>
          <w:szCs w:val="22"/>
          <w:lang w:val="pt-BR"/>
        </w:rPr>
        <w:t>Palavras-chaves:</w:t>
      </w:r>
      <w:r w:rsidR="008506F9" w:rsidRPr="00435155">
        <w:rPr>
          <w:sz w:val="22"/>
          <w:szCs w:val="22"/>
          <w:lang w:val="pt-BR"/>
        </w:rPr>
        <w:t xml:space="preserve"> Ciência cidadã, engajamento de participantes, envolvimento de participantes, Brasil, colaboração, </w:t>
      </w:r>
      <w:proofErr w:type="spellStart"/>
      <w:r w:rsidR="008506F9" w:rsidRPr="00435155">
        <w:rPr>
          <w:sz w:val="22"/>
          <w:szCs w:val="22"/>
          <w:lang w:val="pt-BR"/>
        </w:rPr>
        <w:t>co-criação</w:t>
      </w:r>
      <w:proofErr w:type="spellEnd"/>
    </w:p>
    <w:p w14:paraId="3A433B65" w14:textId="77777777" w:rsidR="00D56FD9" w:rsidRPr="00435155" w:rsidRDefault="00D56FD9">
      <w:pPr>
        <w:rPr>
          <w:sz w:val="22"/>
          <w:szCs w:val="22"/>
          <w:lang w:val="pt-BR"/>
        </w:rPr>
      </w:pPr>
    </w:p>
    <w:p w14:paraId="6CBCE932" w14:textId="77777777" w:rsidR="00326034" w:rsidRDefault="00326034" w:rsidP="00326034">
      <w:pPr>
        <w:spacing w:after="240"/>
        <w:jc w:val="both"/>
        <w:rPr>
          <w:sz w:val="22"/>
          <w:szCs w:val="22"/>
          <w:lang w:val="pt-BR"/>
        </w:rPr>
      </w:pPr>
    </w:p>
    <w:p w14:paraId="2A007143" w14:textId="77777777" w:rsidR="00326034" w:rsidRDefault="00326034" w:rsidP="00326034">
      <w:pPr>
        <w:spacing w:after="240"/>
        <w:jc w:val="both"/>
        <w:rPr>
          <w:sz w:val="22"/>
          <w:szCs w:val="22"/>
          <w:lang w:val="pt-BR"/>
        </w:rPr>
      </w:pPr>
    </w:p>
    <w:p w14:paraId="71B24988" w14:textId="77777777" w:rsidR="00326034" w:rsidRDefault="00326034" w:rsidP="00326034">
      <w:pPr>
        <w:spacing w:after="240"/>
        <w:jc w:val="both"/>
        <w:rPr>
          <w:sz w:val="22"/>
          <w:szCs w:val="22"/>
          <w:lang w:val="pt-BR"/>
        </w:rPr>
      </w:pPr>
    </w:p>
    <w:p w14:paraId="00CD0070" w14:textId="6E05DB13" w:rsidR="00D56FD9" w:rsidRPr="00435155" w:rsidRDefault="00D56FD9" w:rsidP="00326034">
      <w:pPr>
        <w:spacing w:after="240"/>
        <w:jc w:val="both"/>
        <w:rPr>
          <w:sz w:val="22"/>
          <w:szCs w:val="22"/>
          <w:lang w:val="pt-BR"/>
        </w:rPr>
      </w:pPr>
      <w:r w:rsidRPr="00435155">
        <w:rPr>
          <w:sz w:val="22"/>
          <w:szCs w:val="22"/>
          <w:lang w:val="pt-BR"/>
        </w:rPr>
        <w:lastRenderedPageBreak/>
        <w:t>Introdução:</w:t>
      </w:r>
    </w:p>
    <w:p w14:paraId="148F321A" w14:textId="1869F157" w:rsidR="00090DAD" w:rsidRPr="00090DAD" w:rsidRDefault="00090DAD" w:rsidP="00326034">
      <w:pPr>
        <w:pStyle w:val="NormalWeb"/>
        <w:spacing w:before="0" w:beforeAutospacing="0" w:after="240" w:afterAutospacing="0"/>
        <w:ind w:firstLine="720"/>
        <w:rPr>
          <w:color w:val="000000"/>
          <w:lang w:val="pt-BR"/>
        </w:rPr>
      </w:pPr>
      <w:r w:rsidRPr="00090DAD">
        <w:rPr>
          <w:color w:val="000000"/>
          <w:sz w:val="22"/>
          <w:szCs w:val="22"/>
          <w:lang w:val="pt-BR"/>
        </w:rPr>
        <w:t xml:space="preserve">A ciência cidadã está inserida no contexto de um movimento pela abertura </w:t>
      </w:r>
      <w:r w:rsidR="00E115E4">
        <w:rPr>
          <w:color w:val="000000"/>
          <w:sz w:val="22"/>
          <w:szCs w:val="22"/>
          <w:lang w:val="pt-BR"/>
        </w:rPr>
        <w:t>de dados, métodos e práticas científicas.</w:t>
      </w:r>
      <w:r w:rsidRPr="00090DAD">
        <w:rPr>
          <w:color w:val="000000"/>
          <w:sz w:val="22"/>
          <w:szCs w:val="22"/>
          <w:lang w:val="pt-BR"/>
        </w:rPr>
        <w:t xml:space="preserve"> </w:t>
      </w:r>
      <w:r w:rsidR="00E115E4">
        <w:rPr>
          <w:color w:val="000000"/>
          <w:sz w:val="22"/>
          <w:szCs w:val="22"/>
          <w:lang w:val="pt-BR"/>
        </w:rPr>
        <w:t>Esse movimento tem possibilitado que práticas e princípios antes restritos possam ser amplamente adotados</w:t>
      </w:r>
      <w:r w:rsidR="00E115E4" w:rsidRPr="00E115E4">
        <w:rPr>
          <w:color w:val="000000"/>
          <w:sz w:val="22"/>
          <w:szCs w:val="22"/>
          <w:lang w:val="pt-BR"/>
        </w:rPr>
        <w:t xml:space="preserve"> </w:t>
      </w:r>
      <w:r w:rsidR="00E115E4" w:rsidRPr="00090DAD">
        <w:rPr>
          <w:color w:val="000000"/>
          <w:sz w:val="22"/>
          <w:szCs w:val="22"/>
          <w:lang w:val="pt-BR"/>
        </w:rPr>
        <w:t>(</w:t>
      </w:r>
      <w:proofErr w:type="spellStart"/>
      <w:r w:rsidR="00E115E4" w:rsidRPr="00090DAD">
        <w:rPr>
          <w:color w:val="000000"/>
          <w:sz w:val="22"/>
          <w:szCs w:val="22"/>
          <w:lang w:val="pt-BR"/>
        </w:rPr>
        <w:t>Albagli</w:t>
      </w:r>
      <w:proofErr w:type="spellEnd"/>
      <w:r w:rsidR="00E115E4" w:rsidRPr="00090DAD">
        <w:rPr>
          <w:color w:val="000000"/>
          <w:sz w:val="22"/>
          <w:szCs w:val="22"/>
          <w:lang w:val="pt-BR"/>
        </w:rPr>
        <w:t xml:space="preserve"> et al., 2014). </w:t>
      </w:r>
      <w:r w:rsidR="00E115E4">
        <w:rPr>
          <w:color w:val="000000"/>
          <w:sz w:val="22"/>
          <w:szCs w:val="22"/>
          <w:lang w:val="pt-BR"/>
        </w:rPr>
        <w:t>Os dez princípios da ECSA</w:t>
      </w:r>
      <w:r w:rsidR="00A26375">
        <w:rPr>
          <w:color w:val="000000"/>
          <w:sz w:val="22"/>
          <w:szCs w:val="22"/>
          <w:lang w:val="pt-BR"/>
        </w:rPr>
        <w:t xml:space="preserve">, que destacam a necessidade de abordagens mais inclusivas e flexíveis, reconhecendo que definições muito restritivas podem reduzir a inovação e a participação pública </w:t>
      </w:r>
      <w:r w:rsidR="00A26375">
        <w:rPr>
          <w:color w:val="000000"/>
          <w:sz w:val="22"/>
          <w:szCs w:val="22"/>
          <w:lang w:val="pt-BR"/>
        </w:rPr>
        <w:fldChar w:fldCharType="begin"/>
      </w:r>
      <w:r w:rsidR="00A26375">
        <w:rPr>
          <w:color w:val="000000"/>
          <w:sz w:val="22"/>
          <w:szCs w:val="22"/>
          <w:lang w:val="pt-BR"/>
        </w:rPr>
        <w:instrText xml:space="preserve"> ADDIN ZOTERO_ITEM CSL_CITATION {"citationID":"vP4qlQSq","properties":{"formattedCitation":"(Fraisl et al., 2025)","plainCitation":"(Fraisl et al., 2025)","noteIndex":0},"citationItems":[{"id":2399,"uris":["http://zotero.org/users/16995115/items/SAB2XZQZ"],"itemData":{"id":2399,"type":"article-journal","abstract":"Methods We developed the ECSA Characteristics through a vignette study, a survey method that captures diverse perspectives on complex topics. We then reviewed the ECSA 10 Principles of Citizen Science, a broad framework for best practices in citizen science, to identify its gaps and limitations, showing how the ECSA Characteristics can help address them.\nResults The results highlight the disciplinary distinctions as well as ambiguities surrounding various citizen science practices. Two challenges exist when defining citizen science. A very strict definition could exclude valuable practices, hindering innovation and discouraging public participation. Conversely, a loose definition might make it difficult for specific audiences to apply it effectively in their own contexts. Therefore, it is beneficial to adopt an inclusive approach and language that allows the audience to define its own criteria depending on its needs, intended use and specific circumstances.\nConclusions: The ECSA Characteristics were developed in a spirit of openness; identifying areas with diverse and even conflicting views was central to this practice. We recommend their use as a whole set and contend that no one area or characteristic is more important than the other. They should be considered as a toolkit with examples that can guide efforts towards defining citizen science for a specific context and purpose. They are built on the ECSA 10 Principles, addressing some of their gaps and limitations, while at the same time acknowledging the need to update and improve the 10 Principles based on developments in the field.","container-title":"Open Research Europe","DOI":"10.12688/openreseurope.19411.1","ISSN":"2732-5121","journalAbbreviation":"Open Res Europe","language":"en","page":"128","source":"DOI.org (Crossref)","title":"Delineating the contours of citizen science: Development of the ECSA characteristics of citizen science","title-short":"Delineating the contours of citizen science","URL":"https://open-research-europe.ec.europa.eu/articles/5-128/v1","volume":"5","author":[{"family":"Fraisl","given":"Dilek"},{"family":"Haklay","given":"Muki"},{"family":"Hager","given":"Gerid"},{"family":"Wehn","given":"Uta"},{"family":"See","given":"Linda"},{"family":"Hecker","given":"Susanne"},{"family":"Tzovaras","given":"Bastian Greshake"},{"family":"Gold","given":"Margaret"},{"family":"Ceccaroni","given":"Luigi"},{"family":"Kieslinger","given":"Barbara"},{"family":"Woods","given":"Sasha"},{"family":"Nold","given":"Christian"},{"family":"Balázs","given":"Bálint"},{"family":"Mazzonetto","given":"Marzia"},{"family":"Ruefenacht","given":"Simone"},{"family":"Shanley","given":"Lea A."},{"family":"Motion","given":"Alice"},{"family":"Sforzi","given":"Andrea"},{"family":"Dörler","given":"Daniel"},{"family":"Heigl","given":"Florian"},{"family":"Vohland","given":"Katrin"},{"family":"Wagenknecht","given":"Katherin"},{"family":"Schaefer","given":"Teresa"},{"family":"Riemenschneider","given":"Dorte"},{"family":"Lindner","given":"Ariel"},{"family":"Weißpflug","given":"Maike"},{"family":"Mačiulienė","given":"Monika"}],"accessed":{"date-parts":[["2025",11,10]]},"issued":{"date-parts":[["2025",5,9]]}}}],"schema":"https://github.com/citation-style-language/schema/raw/master/csl-citation.json"} </w:instrText>
      </w:r>
      <w:r w:rsidR="00A26375">
        <w:rPr>
          <w:color w:val="000000"/>
          <w:sz w:val="22"/>
          <w:szCs w:val="22"/>
          <w:lang w:val="pt-BR"/>
        </w:rPr>
        <w:fldChar w:fldCharType="separate"/>
      </w:r>
      <w:r w:rsidR="00A26375">
        <w:rPr>
          <w:noProof/>
          <w:color w:val="000000"/>
          <w:sz w:val="22"/>
          <w:szCs w:val="22"/>
          <w:lang w:val="pt-BR"/>
        </w:rPr>
        <w:t>(Fraisl et al., 2025)</w:t>
      </w:r>
      <w:r w:rsidR="00A26375">
        <w:rPr>
          <w:color w:val="000000"/>
          <w:sz w:val="22"/>
          <w:szCs w:val="22"/>
          <w:lang w:val="pt-BR"/>
        </w:rPr>
        <w:fldChar w:fldCharType="end"/>
      </w:r>
      <w:r w:rsidR="00A26375">
        <w:rPr>
          <w:color w:val="000000"/>
          <w:sz w:val="22"/>
          <w:szCs w:val="22"/>
          <w:lang w:val="pt-BR"/>
        </w:rPr>
        <w:t>.</w:t>
      </w:r>
      <w:r w:rsidR="00E115E4">
        <w:rPr>
          <w:color w:val="000000"/>
          <w:sz w:val="22"/>
          <w:szCs w:val="22"/>
          <w:lang w:val="pt-BR"/>
        </w:rPr>
        <w:t xml:space="preserve"> </w:t>
      </w:r>
      <w:r w:rsidRPr="00090DAD">
        <w:rPr>
          <w:color w:val="000000"/>
          <w:sz w:val="22"/>
          <w:szCs w:val="22"/>
          <w:lang w:val="pt-BR"/>
        </w:rPr>
        <w:t>As definições para a ciência cidadã variam, sendo um termo polissêmico, que depende do foco e contexto cultural, em contínua construção, podendo ter outras expressões como ciência comunitária, ciência participativa, geração cidadã de dados, engajamento público na ciência (</w:t>
      </w:r>
      <w:proofErr w:type="spellStart"/>
      <w:r w:rsidRPr="00090DAD">
        <w:rPr>
          <w:color w:val="000000"/>
          <w:sz w:val="22"/>
          <w:szCs w:val="22"/>
          <w:lang w:val="pt-BR"/>
        </w:rPr>
        <w:t>Albagli</w:t>
      </w:r>
      <w:proofErr w:type="spellEnd"/>
      <w:r w:rsidRPr="00090DAD">
        <w:rPr>
          <w:color w:val="000000"/>
          <w:sz w:val="22"/>
          <w:szCs w:val="22"/>
          <w:lang w:val="pt-BR"/>
        </w:rPr>
        <w:t xml:space="preserve"> et al., 2014). A princípio, a ciência cidadã pode ser entendida como um método de pesquisa envolvendo um público não-científico contribuindo em alguma parte da produção do conhecimento científico, sendo esta contribuição geralmente feita através coleta de dados (D’Onofrio et al., 2024). </w:t>
      </w:r>
    </w:p>
    <w:p w14:paraId="5481D7C0" w14:textId="7A05C170" w:rsidR="00090DAD" w:rsidRPr="00090DAD" w:rsidRDefault="00090DAD" w:rsidP="00326034">
      <w:pPr>
        <w:pStyle w:val="NormalWeb"/>
        <w:spacing w:before="0" w:beforeAutospacing="0" w:after="240" w:afterAutospacing="0"/>
        <w:ind w:firstLine="720"/>
        <w:rPr>
          <w:color w:val="000000"/>
          <w:lang w:val="pt-BR"/>
        </w:rPr>
      </w:pPr>
      <w:r w:rsidRPr="00090DAD">
        <w:rPr>
          <w:color w:val="000000"/>
          <w:sz w:val="22"/>
          <w:szCs w:val="22"/>
          <w:lang w:val="pt-BR"/>
        </w:rPr>
        <w:t>Desde o surgimento do termo ciência cidadã, no final do século XX, a discussão teórica sobre a participação pública na ciência tem evoluído e tem sido aderida pelo mundo (</w:t>
      </w:r>
      <w:proofErr w:type="spellStart"/>
      <w:r w:rsidRPr="00090DAD">
        <w:rPr>
          <w:color w:val="000000"/>
          <w:sz w:val="22"/>
          <w:szCs w:val="22"/>
          <w:lang w:val="pt-BR"/>
        </w:rPr>
        <w:t>Moresi</w:t>
      </w:r>
      <w:proofErr w:type="spellEnd"/>
      <w:r w:rsidRPr="00090DAD">
        <w:rPr>
          <w:color w:val="000000"/>
          <w:sz w:val="22"/>
          <w:szCs w:val="22"/>
          <w:lang w:val="pt-BR"/>
        </w:rPr>
        <w:t xml:space="preserve"> &amp; Barbosa, 2017). Isso é evidenciado pela criação de organizações e redes relacionadas à ciência cidadã na Europa, Estados Unidos</w:t>
      </w:r>
      <w:r w:rsidR="00277B8A">
        <w:rPr>
          <w:color w:val="000000"/>
          <w:sz w:val="22"/>
          <w:szCs w:val="22"/>
          <w:lang w:val="pt-BR"/>
        </w:rPr>
        <w:t>,</w:t>
      </w:r>
      <w:r w:rsidR="00716DB2">
        <w:rPr>
          <w:color w:val="000000"/>
          <w:sz w:val="22"/>
          <w:szCs w:val="22"/>
          <w:lang w:val="pt-BR"/>
        </w:rPr>
        <w:t xml:space="preserve"> </w:t>
      </w:r>
      <w:r w:rsidRPr="00090DAD">
        <w:rPr>
          <w:color w:val="000000"/>
          <w:sz w:val="22"/>
          <w:szCs w:val="22"/>
          <w:lang w:val="pt-BR"/>
        </w:rPr>
        <w:t>Austrália e na América Latina (</w:t>
      </w:r>
      <w:proofErr w:type="spellStart"/>
      <w:r w:rsidRPr="00090DAD">
        <w:rPr>
          <w:color w:val="000000"/>
          <w:sz w:val="22"/>
          <w:szCs w:val="22"/>
          <w:lang w:val="pt-BR"/>
        </w:rPr>
        <w:t>Eitzel</w:t>
      </w:r>
      <w:proofErr w:type="spellEnd"/>
      <w:r w:rsidRPr="00090DAD">
        <w:rPr>
          <w:color w:val="000000"/>
          <w:sz w:val="22"/>
          <w:szCs w:val="22"/>
          <w:lang w:val="pt-BR"/>
        </w:rPr>
        <w:t xml:space="preserve"> et al. 2018). Além disso, atualmente, são discutidas diferentes formas de participação que vão além da geração de dados. Essas tipologias procuram integrar amadores dentro do processo científico ou da organização do projeto, oferecendo ao colaborador um papel mais proativo na iniciativa. Sendo assim, uma das formas de categorização de projetos é composta por três grupos: contributivos, no qual participantes contribuem na geração de dados; colaborativos, que além da coleta de dados </w:t>
      </w:r>
      <w:proofErr w:type="spellStart"/>
      <w:r w:rsidRPr="00090DAD">
        <w:rPr>
          <w:color w:val="000000"/>
          <w:sz w:val="22"/>
          <w:szCs w:val="22"/>
          <w:lang w:val="pt-BR"/>
        </w:rPr>
        <w:t>não-acadêmicos</w:t>
      </w:r>
      <w:proofErr w:type="spellEnd"/>
      <w:r w:rsidRPr="00090DAD">
        <w:rPr>
          <w:color w:val="000000"/>
          <w:sz w:val="22"/>
          <w:szCs w:val="22"/>
          <w:lang w:val="pt-BR"/>
        </w:rPr>
        <w:t xml:space="preserve"> colaboram em alguma etapa do interno do projeto; e cocriados, quando o participante atua ativamente em quase todos as etapas do processo (</w:t>
      </w:r>
      <w:proofErr w:type="spellStart"/>
      <w:r w:rsidRPr="00090DAD">
        <w:rPr>
          <w:color w:val="000000"/>
          <w:sz w:val="22"/>
          <w:szCs w:val="22"/>
          <w:lang w:val="pt-BR"/>
        </w:rPr>
        <w:t>Bonney</w:t>
      </w:r>
      <w:proofErr w:type="spellEnd"/>
      <w:r w:rsidRPr="00090DAD">
        <w:rPr>
          <w:color w:val="000000"/>
          <w:sz w:val="22"/>
          <w:szCs w:val="22"/>
          <w:lang w:val="pt-BR"/>
        </w:rPr>
        <w:t xml:space="preserve"> et al., 2009).</w:t>
      </w:r>
    </w:p>
    <w:p w14:paraId="3EE53958" w14:textId="3A04FDE9" w:rsidR="00326034" w:rsidRDefault="00090DAD" w:rsidP="00326034">
      <w:pPr>
        <w:pStyle w:val="NormalWeb"/>
        <w:spacing w:before="0" w:beforeAutospacing="0" w:after="240" w:afterAutospacing="0"/>
        <w:ind w:firstLine="720"/>
        <w:rPr>
          <w:color w:val="000000"/>
          <w:lang w:val="pt-BR"/>
        </w:rPr>
      </w:pPr>
      <w:r w:rsidRPr="00090DAD">
        <w:rPr>
          <w:color w:val="000000"/>
          <w:sz w:val="22"/>
          <w:szCs w:val="22"/>
          <w:lang w:val="pt-BR"/>
        </w:rPr>
        <w:t>No Brasil, o Atlas de Registros de Aves Brasileiras (ARA), é uma das iniciativas de ciência cidadãs mais antigas do país, iniciado na década de 1970 (Witt &amp; da Silva, 2022). Muito embora outros movimentos de ciência aberta e cidadã estivessem espalhados no país - exemplo, através do IBICT [https://manuelzao.ibict.br/</w:t>
      </w:r>
      <w:proofErr w:type="spellStart"/>
      <w:r w:rsidRPr="00090DAD">
        <w:rPr>
          <w:color w:val="000000"/>
          <w:sz w:val="22"/>
          <w:szCs w:val="22"/>
          <w:lang w:val="pt-BR"/>
        </w:rPr>
        <w:t>ciencia</w:t>
      </w:r>
      <w:proofErr w:type="spellEnd"/>
      <w:r w:rsidRPr="00090DAD">
        <w:rPr>
          <w:color w:val="000000"/>
          <w:sz w:val="22"/>
          <w:szCs w:val="22"/>
          <w:lang w:val="pt-BR"/>
        </w:rPr>
        <w:t>-aberta/], ou Fiocruz [</w:t>
      </w:r>
      <w:hyperlink r:id="rId14" w:history="1">
        <w:r w:rsidRPr="00090DAD">
          <w:rPr>
            <w:rStyle w:val="Hyperlink"/>
            <w:rFonts w:eastAsiaTheme="majorEastAsia"/>
            <w:color w:val="1155CC"/>
            <w:sz w:val="22"/>
            <w:szCs w:val="22"/>
            <w:lang w:val="pt-BR"/>
          </w:rPr>
          <w:t>https://fiocruz.br/ciencia-aberta</w:t>
        </w:r>
      </w:hyperlink>
      <w:r w:rsidRPr="00090DAD">
        <w:rPr>
          <w:color w:val="000000"/>
          <w:sz w:val="22"/>
          <w:szCs w:val="22"/>
          <w:lang w:val="pt-BR"/>
        </w:rPr>
        <w:t xml:space="preserve">], ou Embrapa </w:t>
      </w:r>
      <w:r w:rsidR="00B4588D">
        <w:rPr>
          <w:color w:val="000000"/>
          <w:sz w:val="22"/>
          <w:szCs w:val="22"/>
          <w:lang w:val="pt-BR"/>
        </w:rPr>
        <w:t xml:space="preserve">(Drucker et al. 2025) </w:t>
      </w:r>
      <w:r w:rsidRPr="00090DAD">
        <w:rPr>
          <w:color w:val="000000"/>
          <w:sz w:val="22"/>
          <w:szCs w:val="22"/>
          <w:lang w:val="pt-BR"/>
        </w:rPr>
        <w:t xml:space="preserve">é a partir de 2018-2019 que são  criadas plataformas, redes e institutos relacionados à ciência cidadã no contexto brasileiro, a fim de fortalecer e consolidar o tema. A ‘Rede Brasileira de Ciência Cidadã (RBCC)’ que promove a conexão, colaboração e o apoio aos interessados pela pesquisa e prática em ações por meio dos grupos de trabalho. Os grupos de trabalho do RBCC focam nas diferentes facetas relacionadas à prática </w:t>
      </w:r>
      <w:r>
        <w:rPr>
          <w:color w:val="000000"/>
          <w:sz w:val="22"/>
          <w:szCs w:val="22"/>
          <w:lang w:val="pt-BR"/>
        </w:rPr>
        <w:fldChar w:fldCharType="begin"/>
      </w:r>
      <w:r>
        <w:rPr>
          <w:color w:val="000000"/>
          <w:sz w:val="22"/>
          <w:szCs w:val="22"/>
          <w:lang w:val="pt-BR"/>
        </w:rPr>
        <w:instrText xml:space="preserve"> ADDIN ZOTERO_ITEM CSL_CITATION {"citationID":"UAU8CQNI","properties":{"formattedCitation":"(Queiroz-Souza et al., 2023)","plainCitation":"(Queiroz-Souza et al., 2023)","noteIndex":0},"citationItems":[{"id":2397,"uris":["http://zotero.org/users/16995115/items/5ELGW6GN"],"itemData":{"id":2397,"type":"article-journal","abstract":"Citizen science networks can provide support and visibility to existing initiatives. Although citizen science is a growing practice in Brazil, several challenges still exist. A network can play an important role in overcoming these challenges, helping with the exchange of knowledge between initiatives or raising funding, for example. The Brazilian Citizen Science Network was created to advance citizen science in the country. The launch took place in March 2021 at a two-day online workshop focused on topics such as financial sustainability, technology, data quality, inter- and transdisciplinary infrastructure, engagement, and good practices. Based on the contents of the presentations and comments during the event, the authors of this report held follow-up meetings to identify favourable and unfavourable factors that can foster or constrain citizen science in Brazil. Afterwards, an open letter expressing these factors was produced and shared with the network members to register the status of challenges and opportunities we have discussed so far, to be used as a guide for future actions. This report provides an overview of the workshop. Despite depicting a local perspective, the challenges and opportunities discussed during the workshop and summarised in this report may also apply to fostering citizen science in other countries or establishing global practices. We consider that the Brazilian Citizen Science Network can play an important role in promoting the establishment of collaborative actions across the country.","container-title":"Citizen Science: Theory and Practice","DOI":"10.5334/cstp.521","ISSN":"2057-4991","issue":"1","journalAbbreviation":"CSTP","language":"en","page":"13","source":"DOI.org (Crossref)","title":"Opportunities and Barriers for Citizen Science Growth in Brazil: Reflections from the First Workshop of the Brazilian Citizen Science Network","title-short":"Opportunities and Barriers for Citizen Science Growth in Brazil","URL":"https://theoryandpractice.citizenscienceassociation.org/article/10.5334/cstp.521/","volume":"8","author":[{"family":"Queiroz-Souza","given":"Caren"},{"family":"Viana","given":"Blandina"},{"family":"Ghilardi-Lopes","given":"Natalia"},{"family":"Kawabe","given":"Larissa"},{"family":"Alexandrino","given":"Eduardo"},{"family":"França","given":"Juliana"},{"family":"Koffler","given":"Sheina"},{"family":"Saraiva","given":"Antonio Mauro"},{"family":"Loula","given":"Angelo"}],"accessed":{"date-parts":[["2025",11,10]]},"issued":{"date-parts":[["2023",3,27]]}}}],"schema":"https://github.com/citation-style-language/schema/raw/master/csl-citation.json"} </w:instrText>
      </w:r>
      <w:r>
        <w:rPr>
          <w:color w:val="000000"/>
          <w:sz w:val="22"/>
          <w:szCs w:val="22"/>
          <w:lang w:val="pt-BR"/>
        </w:rPr>
        <w:fldChar w:fldCharType="separate"/>
      </w:r>
      <w:r>
        <w:rPr>
          <w:noProof/>
          <w:color w:val="000000"/>
          <w:sz w:val="22"/>
          <w:szCs w:val="22"/>
          <w:lang w:val="pt-BR"/>
        </w:rPr>
        <w:t>(Queiroz-Souza et al., 2023)</w:t>
      </w:r>
      <w:r>
        <w:rPr>
          <w:color w:val="000000"/>
          <w:sz w:val="22"/>
          <w:szCs w:val="22"/>
          <w:lang w:val="pt-BR"/>
        </w:rPr>
        <w:fldChar w:fldCharType="end"/>
      </w:r>
      <w:r w:rsidRPr="00090DAD">
        <w:rPr>
          <w:color w:val="000000"/>
          <w:sz w:val="22"/>
          <w:szCs w:val="22"/>
          <w:lang w:val="pt-BR"/>
        </w:rPr>
        <w:t>. </w:t>
      </w:r>
    </w:p>
    <w:p w14:paraId="1DA538D3" w14:textId="70B65393" w:rsidR="00435155" w:rsidRPr="00326034" w:rsidRDefault="00090DAD" w:rsidP="00326034">
      <w:pPr>
        <w:pStyle w:val="NormalWeb"/>
        <w:spacing w:before="0" w:beforeAutospacing="0" w:after="240" w:afterAutospacing="0"/>
        <w:ind w:firstLine="720"/>
        <w:rPr>
          <w:color w:val="000000"/>
          <w:lang w:val="pt-BR"/>
        </w:rPr>
      </w:pPr>
      <w:r w:rsidRPr="00090DAD">
        <w:rPr>
          <w:color w:val="000000"/>
          <w:sz w:val="22"/>
          <w:szCs w:val="22"/>
          <w:lang w:val="pt-BR"/>
        </w:rPr>
        <w:t xml:space="preserve">Entre esses aspectos, nota-se a manutenção do engajamento de participantes por ser um desafio recorrente em iniciativas, independente de sua tipologia (Carvalho &amp; Leite, 2020). A mensuração quantitativa já é bem difundida como instrumento de avaliação do envolvimento de participantes, porém a análise quantitativa pode por vezes, não representar as dimensões de envolvimento público em todos os tipos de iniciativas (Phillips et al., 2019). Portanto, este estudo tem o objetivo de investigar qualitativamente as estratégias de engajamento de ciência cidadã pelo Brasil em </w:t>
      </w:r>
      <w:r w:rsidR="00D6243C" w:rsidRPr="00D6243C">
        <w:rPr>
          <w:color w:val="000000"/>
          <w:sz w:val="22"/>
          <w:szCs w:val="22"/>
          <w:lang w:val="pt-BR"/>
        </w:rPr>
        <w:t>diferentes temáticas e tipologias (contributivos, colaborativos e cocriados)</w:t>
      </w:r>
      <w:r w:rsidRPr="00090DAD">
        <w:rPr>
          <w:color w:val="000000"/>
          <w:sz w:val="22"/>
          <w:szCs w:val="22"/>
          <w:lang w:val="pt-BR"/>
        </w:rPr>
        <w:t>.</w:t>
      </w:r>
    </w:p>
    <w:p w14:paraId="6681C88C" w14:textId="77777777" w:rsidR="00435155" w:rsidRPr="005043FA" w:rsidRDefault="00435155" w:rsidP="00326034">
      <w:pPr>
        <w:spacing w:after="240"/>
        <w:jc w:val="both"/>
        <w:rPr>
          <w:color w:val="000000"/>
          <w:sz w:val="22"/>
          <w:szCs w:val="22"/>
          <w:lang w:val="pt-BR"/>
        </w:rPr>
      </w:pPr>
      <w:r w:rsidRPr="00090DAD">
        <w:rPr>
          <w:color w:val="000000"/>
          <w:sz w:val="22"/>
          <w:szCs w:val="22"/>
          <w:lang w:val="pt-BR"/>
        </w:rPr>
        <w:t>Metodologia: </w:t>
      </w:r>
    </w:p>
    <w:p w14:paraId="46362BFC" w14:textId="77777777" w:rsidR="007B130E" w:rsidRDefault="00896B1C" w:rsidP="00326034">
      <w:pPr>
        <w:spacing w:after="240"/>
        <w:ind w:firstLine="720"/>
        <w:jc w:val="both"/>
        <w:rPr>
          <w:color w:val="000000"/>
          <w:sz w:val="22"/>
          <w:szCs w:val="22"/>
          <w:lang w:val="pt-BR"/>
        </w:rPr>
      </w:pPr>
      <w:r>
        <w:rPr>
          <w:color w:val="000000"/>
          <w:sz w:val="22"/>
          <w:szCs w:val="22"/>
          <w:lang w:val="pt-BR"/>
        </w:rPr>
        <w:t>Para atender ao objetivo do estudo, buscou identificar os desafios, lições aprendidas e as estratégias de engajamento mencionadas por coordenadores de iniciativas de ciência cidadã em</w:t>
      </w:r>
      <w:r w:rsidRPr="00435155">
        <w:rPr>
          <w:color w:val="000000"/>
          <w:sz w:val="22"/>
          <w:szCs w:val="22"/>
          <w:lang w:val="pt-BR"/>
        </w:rPr>
        <w:t xml:space="preserve"> </w:t>
      </w:r>
      <w:r w:rsidR="007B130E">
        <w:rPr>
          <w:color w:val="000000"/>
          <w:sz w:val="22"/>
          <w:szCs w:val="22"/>
          <w:lang w:val="pt-BR"/>
        </w:rPr>
        <w:t>encontros virtuais</w:t>
      </w:r>
      <w:r w:rsidR="00D6747E">
        <w:rPr>
          <w:color w:val="000000"/>
          <w:sz w:val="22"/>
          <w:szCs w:val="22"/>
          <w:lang w:val="pt-BR"/>
        </w:rPr>
        <w:t>.</w:t>
      </w:r>
      <w:r w:rsidRPr="00435155">
        <w:rPr>
          <w:color w:val="000000"/>
          <w:sz w:val="22"/>
          <w:szCs w:val="22"/>
          <w:lang w:val="pt-BR"/>
        </w:rPr>
        <w:t xml:space="preserve"> </w:t>
      </w:r>
      <w:r w:rsidR="007B130E" w:rsidRPr="00435155">
        <w:rPr>
          <w:color w:val="000000"/>
          <w:sz w:val="22"/>
          <w:szCs w:val="22"/>
          <w:lang w:val="pt-BR"/>
        </w:rPr>
        <w:t xml:space="preserve">A coleta de dados foi </w:t>
      </w:r>
      <w:r w:rsidR="007B130E">
        <w:rPr>
          <w:color w:val="000000"/>
          <w:sz w:val="22"/>
          <w:szCs w:val="22"/>
          <w:lang w:val="pt-BR"/>
        </w:rPr>
        <w:t xml:space="preserve">realizada </w:t>
      </w:r>
      <w:r w:rsidR="007B130E">
        <w:rPr>
          <w:color w:val="000000"/>
          <w:sz w:val="22"/>
          <w:szCs w:val="22"/>
          <w:lang w:val="pt-BR"/>
        </w:rPr>
        <w:t>a partir</w:t>
      </w:r>
      <w:r w:rsidR="007B130E">
        <w:rPr>
          <w:color w:val="000000"/>
          <w:sz w:val="22"/>
          <w:szCs w:val="22"/>
          <w:lang w:val="pt-BR"/>
        </w:rPr>
        <w:t xml:space="preserve"> dessas conversas</w:t>
      </w:r>
      <w:r w:rsidR="007B130E" w:rsidRPr="007B130E">
        <w:rPr>
          <w:color w:val="000000"/>
          <w:sz w:val="22"/>
          <w:szCs w:val="22"/>
          <w:lang w:val="pt-BR"/>
        </w:rPr>
        <w:t xml:space="preserve"> </w:t>
      </w:r>
      <w:r w:rsidR="007B130E" w:rsidRPr="00435155">
        <w:rPr>
          <w:color w:val="000000"/>
          <w:sz w:val="22"/>
          <w:szCs w:val="22"/>
          <w:lang w:val="pt-BR"/>
        </w:rPr>
        <w:t>intituladas de “Ciclo de Diálogos”</w:t>
      </w:r>
      <w:r w:rsidR="007B130E">
        <w:rPr>
          <w:color w:val="000000"/>
          <w:sz w:val="22"/>
          <w:szCs w:val="22"/>
          <w:lang w:val="pt-BR"/>
        </w:rPr>
        <w:t>,</w:t>
      </w:r>
      <w:r w:rsidR="007B130E" w:rsidRPr="00435155">
        <w:rPr>
          <w:color w:val="000000"/>
          <w:sz w:val="22"/>
          <w:szCs w:val="22"/>
          <w:lang w:val="pt-BR"/>
        </w:rPr>
        <w:t xml:space="preserve"> realizadas pelo Grupo de Trabalho 2 de Engajamento de Participantes da Rede Brasileira de Ciência Cidadã</w:t>
      </w:r>
      <w:r w:rsidR="007B130E">
        <w:rPr>
          <w:color w:val="000000"/>
          <w:sz w:val="22"/>
          <w:szCs w:val="22"/>
          <w:lang w:val="pt-BR"/>
        </w:rPr>
        <w:t>.</w:t>
      </w:r>
      <w:r w:rsidR="007B130E" w:rsidRPr="00435155">
        <w:rPr>
          <w:color w:val="000000"/>
          <w:sz w:val="22"/>
          <w:szCs w:val="22"/>
          <w:lang w:val="pt-BR"/>
        </w:rPr>
        <w:t xml:space="preserve"> </w:t>
      </w:r>
      <w:r w:rsidR="00435155" w:rsidRPr="00435155">
        <w:rPr>
          <w:color w:val="000000"/>
          <w:sz w:val="22"/>
          <w:szCs w:val="22"/>
          <w:lang w:val="pt-BR"/>
        </w:rPr>
        <w:t xml:space="preserve">Em cada encontro, dois coordenadores de iniciativas de ciência cidadã foram convidados para partilhar estratégias de engajamento público utilizados em seus projetos. Cada encontro foi definido com base na temática global </w:t>
      </w:r>
      <w:r w:rsidR="00435155" w:rsidRPr="00435155">
        <w:rPr>
          <w:color w:val="000000"/>
          <w:sz w:val="22"/>
          <w:szCs w:val="22"/>
          <w:lang w:val="pt-BR"/>
        </w:rPr>
        <w:lastRenderedPageBreak/>
        <w:t xml:space="preserve">que iniciativas convidadas tinham em comum. Entre as temáticas abordadas estão Biodiversidade, Fauna, Desastres, Ambiente Costeiro, Segurança Alimentar e Saúde. Sessões ocorreram na plataforma Zoom e transmitidas ao vivo pelo Youtube </w:t>
      </w:r>
      <w:r w:rsidR="007B130E" w:rsidRPr="00435155">
        <w:rPr>
          <w:color w:val="000000"/>
          <w:sz w:val="22"/>
          <w:szCs w:val="22"/>
          <w:lang w:val="pt-BR"/>
        </w:rPr>
        <w:t>simultaneamente.</w:t>
      </w:r>
      <w:r w:rsidRPr="00435155">
        <w:rPr>
          <w:color w:val="000000"/>
          <w:sz w:val="22"/>
          <w:szCs w:val="22"/>
          <w:lang w:val="pt-BR"/>
        </w:rPr>
        <w:t xml:space="preserve"> </w:t>
      </w:r>
    </w:p>
    <w:p w14:paraId="1BF79128" w14:textId="52E75B56" w:rsidR="00435155" w:rsidRPr="00435155" w:rsidRDefault="00435155" w:rsidP="00326034">
      <w:pPr>
        <w:spacing w:after="240"/>
        <w:ind w:firstLine="720"/>
        <w:jc w:val="both"/>
        <w:rPr>
          <w:color w:val="000000"/>
          <w:sz w:val="22"/>
          <w:szCs w:val="22"/>
          <w:lang w:val="pt-BR"/>
        </w:rPr>
      </w:pPr>
      <w:r w:rsidRPr="00435155">
        <w:rPr>
          <w:color w:val="000000"/>
          <w:sz w:val="22"/>
          <w:szCs w:val="22"/>
          <w:lang w:val="pt-BR"/>
        </w:rPr>
        <w:t xml:space="preserve">Após a realização destes eventos, vídeos foram transcritos utilizando softwares de transcrição de áudio. A limpeza dos arquivos </w:t>
      </w:r>
      <w:r w:rsidR="007B130E">
        <w:rPr>
          <w:color w:val="000000"/>
          <w:sz w:val="22"/>
          <w:szCs w:val="22"/>
          <w:lang w:val="pt-BR"/>
        </w:rPr>
        <w:t>ocorreu em</w:t>
      </w:r>
      <w:r w:rsidRPr="00435155">
        <w:rPr>
          <w:color w:val="000000"/>
          <w:sz w:val="22"/>
          <w:szCs w:val="22"/>
          <w:lang w:val="pt-BR"/>
        </w:rPr>
        <w:t xml:space="preserve"> d</w:t>
      </w:r>
      <w:r w:rsidR="007B130E">
        <w:rPr>
          <w:color w:val="000000"/>
          <w:sz w:val="22"/>
          <w:szCs w:val="22"/>
          <w:lang w:val="pt-BR"/>
        </w:rPr>
        <w:t>uas etapas</w:t>
      </w:r>
      <w:r w:rsidRPr="00435155">
        <w:rPr>
          <w:color w:val="000000"/>
          <w:sz w:val="22"/>
          <w:szCs w:val="22"/>
          <w:lang w:val="pt-BR"/>
        </w:rPr>
        <w:t xml:space="preserve">: </w:t>
      </w:r>
      <w:r w:rsidR="007B130E">
        <w:rPr>
          <w:color w:val="000000"/>
          <w:sz w:val="22"/>
          <w:szCs w:val="22"/>
          <w:lang w:val="pt-BR"/>
        </w:rPr>
        <w:t>inicialmente</w:t>
      </w:r>
      <w:r w:rsidRPr="00435155">
        <w:rPr>
          <w:color w:val="000000"/>
          <w:sz w:val="22"/>
          <w:szCs w:val="22"/>
          <w:lang w:val="pt-BR"/>
        </w:rPr>
        <w:t xml:space="preserve"> para eliminar erros e inconsistências</w:t>
      </w:r>
      <w:r w:rsidR="007B130E">
        <w:rPr>
          <w:color w:val="000000"/>
          <w:sz w:val="22"/>
          <w:szCs w:val="22"/>
          <w:lang w:val="pt-BR"/>
        </w:rPr>
        <w:t>; e posteriormente,</w:t>
      </w:r>
      <w:r w:rsidRPr="00435155">
        <w:rPr>
          <w:color w:val="000000"/>
          <w:sz w:val="22"/>
          <w:szCs w:val="22"/>
          <w:lang w:val="pt-BR"/>
        </w:rPr>
        <w:t xml:space="preserve"> para a validação final, eliminando falas desviando do assunto principal, </w:t>
      </w:r>
      <w:r w:rsidR="007B130E" w:rsidRPr="00435155">
        <w:rPr>
          <w:color w:val="000000"/>
          <w:sz w:val="22"/>
          <w:szCs w:val="22"/>
          <w:lang w:val="pt-BR"/>
        </w:rPr>
        <w:t>como correções técnicas</w:t>
      </w:r>
      <w:r w:rsidR="007B130E">
        <w:rPr>
          <w:color w:val="000000"/>
          <w:sz w:val="22"/>
          <w:szCs w:val="22"/>
          <w:lang w:val="pt-BR"/>
        </w:rPr>
        <w:t xml:space="preserve"> </w:t>
      </w:r>
      <w:r w:rsidRPr="00435155">
        <w:rPr>
          <w:color w:val="000000"/>
          <w:sz w:val="22"/>
          <w:szCs w:val="22"/>
          <w:lang w:val="pt-BR"/>
        </w:rPr>
        <w:t>de áudio ou confirmaç</w:t>
      </w:r>
      <w:r w:rsidR="007B130E">
        <w:rPr>
          <w:color w:val="000000"/>
          <w:sz w:val="22"/>
          <w:szCs w:val="22"/>
          <w:lang w:val="pt-BR"/>
        </w:rPr>
        <w:t>ões operacionais feitas pelos ouvintes</w:t>
      </w:r>
      <w:r w:rsidRPr="00435155">
        <w:rPr>
          <w:color w:val="000000"/>
          <w:sz w:val="22"/>
          <w:szCs w:val="22"/>
          <w:lang w:val="pt-BR"/>
        </w:rPr>
        <w:t xml:space="preserve">. </w:t>
      </w:r>
      <w:r w:rsidR="007B130E">
        <w:rPr>
          <w:color w:val="000000"/>
          <w:sz w:val="22"/>
          <w:szCs w:val="22"/>
          <w:lang w:val="pt-BR"/>
        </w:rPr>
        <w:t>Em seguida</w:t>
      </w:r>
      <w:r w:rsidRPr="00435155">
        <w:rPr>
          <w:color w:val="000000"/>
          <w:sz w:val="22"/>
          <w:szCs w:val="22"/>
          <w:lang w:val="pt-BR"/>
        </w:rPr>
        <w:t xml:space="preserve">, os arquivos </w:t>
      </w:r>
      <w:r w:rsidR="007B130E">
        <w:rPr>
          <w:color w:val="000000"/>
          <w:sz w:val="22"/>
          <w:szCs w:val="22"/>
          <w:lang w:val="pt-BR"/>
        </w:rPr>
        <w:t xml:space="preserve">já revisados foram segmentados por apresentação da iniciativa e por bloco de perguntas </w:t>
      </w:r>
      <w:r w:rsidRPr="00435155">
        <w:rPr>
          <w:color w:val="000000"/>
          <w:sz w:val="22"/>
          <w:szCs w:val="22"/>
          <w:lang w:val="pt-BR"/>
        </w:rPr>
        <w:t>para cada vídeo.</w:t>
      </w:r>
    </w:p>
    <w:p w14:paraId="03886D66" w14:textId="2E614C7B" w:rsidR="00435155" w:rsidRPr="00435155" w:rsidRDefault="007B130E" w:rsidP="00326034">
      <w:pPr>
        <w:spacing w:after="240"/>
        <w:ind w:firstLine="720"/>
        <w:jc w:val="both"/>
        <w:rPr>
          <w:color w:val="000000"/>
          <w:sz w:val="22"/>
          <w:szCs w:val="22"/>
          <w:lang w:val="pt-BR"/>
        </w:rPr>
      </w:pPr>
      <w:r>
        <w:rPr>
          <w:color w:val="000000"/>
          <w:sz w:val="22"/>
          <w:szCs w:val="22"/>
          <w:lang w:val="pt-BR"/>
        </w:rPr>
        <w:t>Com base nessas transcrições</w:t>
      </w:r>
      <w:r w:rsidR="00435155" w:rsidRPr="00435155">
        <w:rPr>
          <w:color w:val="000000"/>
          <w:sz w:val="22"/>
          <w:szCs w:val="22"/>
          <w:lang w:val="pt-BR"/>
        </w:rPr>
        <w:t xml:space="preserve">, foi </w:t>
      </w:r>
      <w:r>
        <w:rPr>
          <w:color w:val="000000"/>
          <w:sz w:val="22"/>
          <w:szCs w:val="22"/>
          <w:lang w:val="pt-BR"/>
        </w:rPr>
        <w:t>conduzido o processo de análise. Buscando identificar desafios, lições aprendidas e estratégias de engajamento, foram feitas</w:t>
      </w:r>
      <w:r w:rsidR="00435155" w:rsidRPr="00435155">
        <w:rPr>
          <w:color w:val="000000"/>
          <w:sz w:val="22"/>
          <w:szCs w:val="22"/>
          <w:lang w:val="pt-BR"/>
        </w:rPr>
        <w:t xml:space="preserve"> manualmente anotações e grif</w:t>
      </w:r>
      <w:r>
        <w:rPr>
          <w:color w:val="000000"/>
          <w:sz w:val="22"/>
          <w:szCs w:val="22"/>
          <w:lang w:val="pt-BR"/>
        </w:rPr>
        <w:t>o</w:t>
      </w:r>
      <w:r w:rsidR="00435155" w:rsidRPr="00435155">
        <w:rPr>
          <w:color w:val="000000"/>
          <w:sz w:val="22"/>
          <w:szCs w:val="22"/>
          <w:lang w:val="pt-BR"/>
        </w:rPr>
        <w:t>s destacando falas singulare</w:t>
      </w:r>
      <w:r>
        <w:rPr>
          <w:color w:val="000000"/>
          <w:sz w:val="22"/>
          <w:szCs w:val="22"/>
          <w:lang w:val="pt-BR"/>
        </w:rPr>
        <w:t xml:space="preserve">s, que deram origem aos </w:t>
      </w:r>
      <w:r w:rsidR="00435155" w:rsidRPr="00435155">
        <w:rPr>
          <w:color w:val="000000"/>
          <w:sz w:val="22"/>
          <w:szCs w:val="22"/>
          <w:lang w:val="pt-BR"/>
        </w:rPr>
        <w:t xml:space="preserve">códigos. Posteriormente, a codificação foi continuada no software </w:t>
      </w:r>
      <w:proofErr w:type="spellStart"/>
      <w:r w:rsidR="00435155" w:rsidRPr="00435155">
        <w:rPr>
          <w:color w:val="000000"/>
          <w:sz w:val="22"/>
          <w:szCs w:val="22"/>
          <w:lang w:val="pt-BR"/>
        </w:rPr>
        <w:t>Atlas.ti</w:t>
      </w:r>
      <w:proofErr w:type="spellEnd"/>
      <w:r w:rsidR="00435155" w:rsidRPr="00435155">
        <w:rPr>
          <w:color w:val="000000"/>
          <w:sz w:val="22"/>
          <w:szCs w:val="22"/>
          <w:lang w:val="pt-BR"/>
        </w:rPr>
        <w:t xml:space="preserve">, permitindo a organização das informações em subcategorias e categorias gerais. Estes códigos iniciais </w:t>
      </w:r>
      <w:r>
        <w:rPr>
          <w:color w:val="000000"/>
          <w:sz w:val="22"/>
          <w:szCs w:val="22"/>
          <w:lang w:val="pt-BR"/>
        </w:rPr>
        <w:t xml:space="preserve">constituíram as </w:t>
      </w:r>
      <w:r w:rsidR="00435155" w:rsidRPr="00435155">
        <w:rPr>
          <w:color w:val="000000"/>
          <w:sz w:val="22"/>
          <w:szCs w:val="22"/>
          <w:lang w:val="pt-BR"/>
        </w:rPr>
        <w:t>subcategorias de engajamento</w:t>
      </w:r>
      <w:r>
        <w:rPr>
          <w:color w:val="000000"/>
          <w:sz w:val="22"/>
          <w:szCs w:val="22"/>
          <w:lang w:val="pt-BR"/>
        </w:rPr>
        <w:t>, a partir das quais foram criadas categorias mais amplas relacionadas às estratégias de engajamento</w:t>
      </w:r>
      <w:r w:rsidR="00435155" w:rsidRPr="00435155">
        <w:rPr>
          <w:color w:val="000000"/>
          <w:sz w:val="22"/>
          <w:szCs w:val="22"/>
          <w:lang w:val="pt-BR"/>
        </w:rPr>
        <w:t xml:space="preserve">. </w:t>
      </w:r>
      <w:r>
        <w:rPr>
          <w:color w:val="000000"/>
          <w:sz w:val="22"/>
          <w:szCs w:val="22"/>
          <w:lang w:val="pt-BR"/>
        </w:rPr>
        <w:t>Assim</w:t>
      </w:r>
      <w:r w:rsidR="00435155" w:rsidRPr="00435155">
        <w:rPr>
          <w:color w:val="000000"/>
          <w:sz w:val="22"/>
          <w:szCs w:val="22"/>
          <w:lang w:val="pt-BR"/>
        </w:rPr>
        <w:t>, a hierarquia dos códigos seguiu a seguinte ordem: referências, subcategorias de engajamento, categorias de engajamento. </w:t>
      </w:r>
    </w:p>
    <w:p w14:paraId="23D98892" w14:textId="77777777" w:rsidR="00435155" w:rsidRPr="00435155" w:rsidRDefault="00435155" w:rsidP="00326034">
      <w:pPr>
        <w:spacing w:after="240"/>
        <w:ind w:firstLine="720"/>
        <w:jc w:val="both"/>
        <w:rPr>
          <w:color w:val="000000"/>
          <w:sz w:val="22"/>
          <w:szCs w:val="22"/>
          <w:lang w:val="pt-BR"/>
        </w:rPr>
      </w:pPr>
      <w:r w:rsidRPr="00435155">
        <w:rPr>
          <w:color w:val="000000"/>
          <w:sz w:val="22"/>
          <w:szCs w:val="22"/>
          <w:lang w:val="pt-BR"/>
        </w:rPr>
        <w:t xml:space="preserve">Todos os projetos foram classificados de acordo com os três níveis de participação em ciência cidadã de </w:t>
      </w:r>
      <w:proofErr w:type="spellStart"/>
      <w:r w:rsidRPr="00435155">
        <w:rPr>
          <w:color w:val="000000"/>
          <w:sz w:val="22"/>
          <w:szCs w:val="22"/>
          <w:lang w:val="pt-BR"/>
        </w:rPr>
        <w:t>Bonney</w:t>
      </w:r>
      <w:proofErr w:type="spellEnd"/>
      <w:r w:rsidRPr="00435155">
        <w:rPr>
          <w:color w:val="000000"/>
          <w:sz w:val="22"/>
          <w:szCs w:val="22"/>
          <w:lang w:val="pt-BR"/>
        </w:rPr>
        <w:t xml:space="preserve"> et al. 2009: os contributivos são caracterizados por serem projetado por cientistas e o voluntário contribui na geração de dados; os colaborativos são aqueles no qual participação não-acadêmica ocorre na coleta de dados mas também em etapas do projeto como refinamento do projeto, análise de dados, disseminação de resultados; e os cocriados conta com a participação ativa de colaboradores em quase todas as etapas do processo científico.</w:t>
      </w:r>
    </w:p>
    <w:p w14:paraId="32F4961F" w14:textId="05E800A6" w:rsidR="00C6518F" w:rsidRDefault="007B130E" w:rsidP="00326034">
      <w:pPr>
        <w:spacing w:after="240"/>
        <w:ind w:firstLine="720"/>
        <w:jc w:val="both"/>
        <w:rPr>
          <w:color w:val="000000"/>
          <w:sz w:val="22"/>
          <w:szCs w:val="22"/>
          <w:lang w:val="pt-BR"/>
        </w:rPr>
      </w:pPr>
      <w:r>
        <w:rPr>
          <w:color w:val="000000"/>
          <w:sz w:val="22"/>
          <w:szCs w:val="22"/>
          <w:lang w:val="pt-BR"/>
        </w:rPr>
        <w:t>Por fim, todos o</w:t>
      </w:r>
      <w:r w:rsidR="00435155" w:rsidRPr="00435155">
        <w:rPr>
          <w:color w:val="000000"/>
          <w:sz w:val="22"/>
          <w:szCs w:val="22"/>
          <w:lang w:val="pt-BR"/>
        </w:rPr>
        <w:t xml:space="preserve">s códigos criados foram organizados em uma planilha Excel. </w:t>
      </w:r>
      <w:r>
        <w:rPr>
          <w:color w:val="000000"/>
          <w:sz w:val="22"/>
          <w:szCs w:val="22"/>
          <w:lang w:val="pt-BR"/>
        </w:rPr>
        <w:t>Os d</w:t>
      </w:r>
      <w:r w:rsidR="00435155" w:rsidRPr="00435155">
        <w:rPr>
          <w:color w:val="000000"/>
          <w:sz w:val="22"/>
          <w:szCs w:val="22"/>
          <w:lang w:val="pt-BR"/>
        </w:rPr>
        <w:t xml:space="preserve">ados foram </w:t>
      </w:r>
      <w:r>
        <w:rPr>
          <w:color w:val="000000"/>
          <w:sz w:val="22"/>
          <w:szCs w:val="22"/>
          <w:lang w:val="pt-BR"/>
        </w:rPr>
        <w:t xml:space="preserve">estruturados considerando: </w:t>
      </w:r>
      <w:r w:rsidR="00435155" w:rsidRPr="00435155">
        <w:rPr>
          <w:color w:val="000000"/>
          <w:sz w:val="22"/>
          <w:szCs w:val="22"/>
          <w:lang w:val="pt-BR"/>
        </w:rPr>
        <w:t>temática da iniciativa, nome do orador, descrição do orador, iniciativa associada</w:t>
      </w:r>
      <w:r>
        <w:rPr>
          <w:color w:val="000000"/>
          <w:sz w:val="22"/>
          <w:szCs w:val="22"/>
          <w:lang w:val="pt-BR"/>
        </w:rPr>
        <w:t xml:space="preserve"> e sua</w:t>
      </w:r>
      <w:r w:rsidR="00435155" w:rsidRPr="00435155">
        <w:rPr>
          <w:color w:val="000000"/>
          <w:sz w:val="22"/>
          <w:szCs w:val="22"/>
          <w:lang w:val="pt-BR"/>
        </w:rPr>
        <w:t xml:space="preserve"> descrição da iniciativa, tipo de ciência cidadã, categorias de engajamento, subcategorias de engajamento, descrição da subcategoria de engajamento, categoria de fortaleza, descrição da fortaleza do projeto, categoria de dificuldades, descrição da dificuldade do projeto. </w:t>
      </w:r>
    </w:p>
    <w:p w14:paraId="78254E82" w14:textId="070C1FBF" w:rsidR="00C6518F" w:rsidRDefault="00435155" w:rsidP="00326034">
      <w:pPr>
        <w:spacing w:after="240"/>
        <w:jc w:val="both"/>
        <w:rPr>
          <w:color w:val="000000"/>
          <w:sz w:val="22"/>
          <w:szCs w:val="22"/>
          <w:lang w:val="pt-BR"/>
        </w:rPr>
      </w:pPr>
      <w:r w:rsidRPr="00435155">
        <w:rPr>
          <w:color w:val="000000"/>
          <w:sz w:val="22"/>
          <w:szCs w:val="22"/>
          <w:lang w:val="pt-BR"/>
        </w:rPr>
        <w:t>Resultados principais:</w:t>
      </w:r>
    </w:p>
    <w:p w14:paraId="6AC5342D" w14:textId="003B25C9" w:rsidR="00435155" w:rsidRPr="00435155" w:rsidRDefault="00435155" w:rsidP="00326034">
      <w:pPr>
        <w:spacing w:after="240"/>
        <w:ind w:firstLine="720"/>
        <w:jc w:val="both"/>
        <w:rPr>
          <w:color w:val="000000"/>
          <w:sz w:val="22"/>
          <w:szCs w:val="22"/>
          <w:lang w:val="pt-BR"/>
        </w:rPr>
      </w:pPr>
      <w:r w:rsidRPr="00435155">
        <w:rPr>
          <w:color w:val="000000"/>
          <w:sz w:val="22"/>
          <w:szCs w:val="22"/>
          <w:lang w:val="pt-BR"/>
        </w:rPr>
        <w:t xml:space="preserve">A transcrição dos vídeos resultou em 19 arquivos, organizados em dois blocos: 12 referentes às apresentações de organizadores e líderes, e 7 correspondentes aos blocos de perguntas. Nas primeiras edições dos ciclos de diálogo sobre a temática ‘Fauna’, não houve limitação de tempo para a exposição do coordenador da iniciativa Sistema Urubu. Essa ausência de controle temporal ocasionou falta de tempo para a fala da segunda oradora, o que levou à necessidade de realizar um novo encontro, dedicado exclusivamente à iniciativa ‘SISSGEO’. Dessa forma, foi necessário agendar um encontro complementar, destinado exclusivamente à iniciativa, o que ocasionou a inclusão de um bloco adicional de perguntas em comparação aos demais ciclos. Entre as doze iniciativas apresentadas, metade destes (n = 6) foram tipificados como colaborativos, 4 projetos foram </w:t>
      </w:r>
      <w:proofErr w:type="gramStart"/>
      <w:r w:rsidRPr="00435155">
        <w:rPr>
          <w:color w:val="000000"/>
          <w:sz w:val="22"/>
          <w:szCs w:val="22"/>
          <w:lang w:val="pt-BR"/>
        </w:rPr>
        <w:t>caracterizadas</w:t>
      </w:r>
      <w:proofErr w:type="gramEnd"/>
      <w:r w:rsidRPr="00435155">
        <w:rPr>
          <w:color w:val="000000"/>
          <w:sz w:val="22"/>
          <w:szCs w:val="22"/>
          <w:lang w:val="pt-BR"/>
        </w:rPr>
        <w:t xml:space="preserve"> como contributivas e as demais como cocriadas (n = 2).</w:t>
      </w:r>
    </w:p>
    <w:p w14:paraId="2A6F8FE5" w14:textId="77777777" w:rsidR="00435155" w:rsidRPr="00435155" w:rsidRDefault="00435155" w:rsidP="00326034">
      <w:pPr>
        <w:spacing w:after="240"/>
        <w:ind w:firstLine="720"/>
        <w:jc w:val="both"/>
        <w:rPr>
          <w:color w:val="000000"/>
          <w:sz w:val="22"/>
          <w:szCs w:val="22"/>
          <w:lang w:val="pt-BR"/>
        </w:rPr>
      </w:pPr>
      <w:r w:rsidRPr="00435155">
        <w:rPr>
          <w:color w:val="000000"/>
          <w:sz w:val="22"/>
          <w:szCs w:val="22"/>
          <w:lang w:val="pt-BR"/>
        </w:rPr>
        <w:t>Através da codificação das transcrições, no total, foram geradas 287 citações distribuídas em 57 referências a respeito das dificuldades do projeto; 91 referências sobre as fortalezas da iniciativa; 139 referências relacionadas às estratégias de engajamento. A partir destas referências foram desenvolvidas 109 subcategorias de estratégias de engajamento divididos em 6 categorias principais de estratégias de engajamento, elas são ‘Cocriação e Empoderamento’ (n = 39), ‘Comunicação Eficaz e Personalizada’ (n =31), ‘Consideração das Diversidades’ (n = 7), ‘Fortalecimento das Redes Sociais’ (n = 31), ‘Avaliação e Monitoramento’ (n = 14), Motivação (n = 6). </w:t>
      </w:r>
    </w:p>
    <w:p w14:paraId="14F00D19" w14:textId="77777777" w:rsidR="00435155" w:rsidRPr="00435155" w:rsidRDefault="00435155" w:rsidP="00326034">
      <w:pPr>
        <w:spacing w:after="240"/>
        <w:jc w:val="both"/>
        <w:rPr>
          <w:sz w:val="22"/>
          <w:szCs w:val="22"/>
          <w:lang w:val="pt-BR"/>
        </w:rPr>
      </w:pPr>
    </w:p>
    <w:p w14:paraId="583347CE" w14:textId="77777777" w:rsidR="00435155" w:rsidRPr="00435155" w:rsidRDefault="00435155" w:rsidP="00326034">
      <w:pPr>
        <w:spacing w:after="240"/>
        <w:jc w:val="both"/>
        <w:rPr>
          <w:sz w:val="22"/>
          <w:szCs w:val="22"/>
          <w:lang w:val="pt-BR"/>
        </w:rPr>
      </w:pPr>
    </w:p>
    <w:p w14:paraId="048A06F1" w14:textId="77777777" w:rsidR="00CC025E" w:rsidRPr="00435155" w:rsidRDefault="00CC025E" w:rsidP="00326034">
      <w:pPr>
        <w:spacing w:after="240"/>
        <w:jc w:val="both"/>
        <w:rPr>
          <w:sz w:val="22"/>
          <w:szCs w:val="22"/>
          <w:lang w:val="pt-BR"/>
        </w:rPr>
      </w:pPr>
      <w:r w:rsidRPr="00435155">
        <w:rPr>
          <w:noProof/>
          <w:sz w:val="22"/>
          <w:szCs w:val="22"/>
          <w:lang w:val="pt-BR"/>
        </w:rPr>
        <w:drawing>
          <wp:inline distT="0" distB="0" distL="0" distR="0" wp14:anchorId="1E5F1441" wp14:editId="7CF7A98A">
            <wp:extent cx="5960533" cy="5785496"/>
            <wp:effectExtent l="0" t="0" r="0" b="5715"/>
            <wp:docPr id="1995764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764228" name="Picture 1"/>
                    <pic:cNvPicPr/>
                  </pic:nvPicPr>
                  <pic:blipFill rotWithShape="1">
                    <a:blip r:embed="rId15" cstate="print">
                      <a:extLst>
                        <a:ext uri="{28A0092B-C50C-407E-A947-70E740481C1C}">
                          <a14:useLocalDpi xmlns:a14="http://schemas.microsoft.com/office/drawing/2010/main" val="0"/>
                        </a:ext>
                      </a:extLst>
                    </a:blip>
                    <a:srcRect l="14675" r="16939"/>
                    <a:stretch>
                      <a:fillRect/>
                    </a:stretch>
                  </pic:blipFill>
                  <pic:spPr bwMode="auto">
                    <a:xfrm>
                      <a:off x="0" y="0"/>
                      <a:ext cx="5970720" cy="5795384"/>
                    </a:xfrm>
                    <a:prstGeom prst="rect">
                      <a:avLst/>
                    </a:prstGeom>
                    <a:ln>
                      <a:noFill/>
                    </a:ln>
                    <a:extLst>
                      <a:ext uri="{53640926-AAD7-44D8-BBD7-CCE9431645EC}">
                        <a14:shadowObscured xmlns:a14="http://schemas.microsoft.com/office/drawing/2010/main"/>
                      </a:ext>
                    </a:extLst>
                  </pic:spPr>
                </pic:pic>
              </a:graphicData>
            </a:graphic>
          </wp:inline>
        </w:drawing>
      </w:r>
      <w:r w:rsidRPr="00435155">
        <w:rPr>
          <w:sz w:val="22"/>
          <w:szCs w:val="22"/>
          <w:lang w:val="pt-BR"/>
        </w:rPr>
        <w:t xml:space="preserve"> </w:t>
      </w:r>
    </w:p>
    <w:p w14:paraId="258674C3" w14:textId="77777777" w:rsidR="00CC025E" w:rsidRPr="00435155" w:rsidRDefault="00CC025E" w:rsidP="00326034">
      <w:pPr>
        <w:pStyle w:val="Caption"/>
        <w:spacing w:after="240"/>
        <w:jc w:val="both"/>
        <w:rPr>
          <w:sz w:val="22"/>
          <w:szCs w:val="22"/>
          <w:lang w:val="pt-BR"/>
        </w:rPr>
      </w:pPr>
      <w:r w:rsidRPr="00435155">
        <w:rPr>
          <w:sz w:val="22"/>
          <w:szCs w:val="22"/>
          <w:lang w:val="pt-BR"/>
        </w:rPr>
        <w:t xml:space="preserve">Figura </w:t>
      </w:r>
      <w:r w:rsidRPr="00435155">
        <w:rPr>
          <w:sz w:val="22"/>
          <w:szCs w:val="22"/>
        </w:rPr>
        <w:fldChar w:fldCharType="begin"/>
      </w:r>
      <w:r w:rsidRPr="00435155">
        <w:rPr>
          <w:sz w:val="22"/>
          <w:szCs w:val="22"/>
          <w:lang w:val="pt-BR"/>
        </w:rPr>
        <w:instrText xml:space="preserve"> SEQ Figura \* ARABIC </w:instrText>
      </w:r>
      <w:r w:rsidRPr="00435155">
        <w:rPr>
          <w:sz w:val="22"/>
          <w:szCs w:val="22"/>
        </w:rPr>
        <w:fldChar w:fldCharType="separate"/>
      </w:r>
      <w:r w:rsidRPr="00435155">
        <w:rPr>
          <w:noProof/>
          <w:sz w:val="22"/>
          <w:szCs w:val="22"/>
          <w:lang w:val="pt-BR"/>
        </w:rPr>
        <w:t>1</w:t>
      </w:r>
      <w:r w:rsidRPr="00435155">
        <w:rPr>
          <w:sz w:val="22"/>
          <w:szCs w:val="22"/>
        </w:rPr>
        <w:fldChar w:fldCharType="end"/>
      </w:r>
      <w:r w:rsidRPr="00435155">
        <w:rPr>
          <w:sz w:val="22"/>
          <w:szCs w:val="22"/>
          <w:lang w:val="pt-BR"/>
        </w:rPr>
        <w:t xml:space="preserve"> - As principais categorias e as suas subcategorias de estratégias de engajamento público.</w:t>
      </w:r>
    </w:p>
    <w:p w14:paraId="67B61538" w14:textId="77777777" w:rsidR="00435155" w:rsidRPr="00435155" w:rsidRDefault="00435155" w:rsidP="00326034">
      <w:pPr>
        <w:spacing w:after="240"/>
        <w:ind w:firstLine="720"/>
        <w:jc w:val="both"/>
        <w:rPr>
          <w:sz w:val="22"/>
          <w:szCs w:val="22"/>
          <w:lang w:val="pt-BR"/>
        </w:rPr>
      </w:pPr>
      <w:r w:rsidRPr="00435155">
        <w:rPr>
          <w:sz w:val="22"/>
          <w:szCs w:val="22"/>
          <w:lang w:val="pt-BR"/>
        </w:rPr>
        <w:t xml:space="preserve">‘Colaboração e Parcerias’ foi a estratégia com maior frequência entre todas as subcategorias de engajamento social (n = 7), isso pode indicar um interesse em comum entre coordenadores de ciência cidadã na colaboração, criação e manutenção de vínculos entre outros grupos e institutos em eventos ou em ações como no desenvolvimento de materiais educativos. A ‘construção de confiança’ foi também bastante citada (n = 5) em temáticas como desastres, fauna, saúde e ambiente costeiro e marinho. Essa alta frequência pode representar aplicabilidade e universalidade desta estratégia sendo possível de ser empregada em qualquer tipo de iniciativa independente de temática ou tipologia do projeto. As ações citadas incluem oportunidade recorrentes de diálogos com participantes permitindo que estes compartilhem suas percepções, atualizações </w:t>
      </w:r>
      <w:r w:rsidRPr="00435155">
        <w:rPr>
          <w:sz w:val="22"/>
          <w:szCs w:val="22"/>
          <w:lang w:val="pt-BR"/>
        </w:rPr>
        <w:lastRenderedPageBreak/>
        <w:t>das atividades da iniciativa através das redes sociais e transparência entre participantes e instituições em relação aos dados coletados e os seus usos.</w:t>
      </w:r>
    </w:p>
    <w:p w14:paraId="53CFC818" w14:textId="4FB4D757" w:rsidR="00C22494" w:rsidRPr="00435155" w:rsidRDefault="00C22494" w:rsidP="00326034">
      <w:pPr>
        <w:spacing w:after="240"/>
        <w:jc w:val="both"/>
        <w:rPr>
          <w:sz w:val="22"/>
          <w:szCs w:val="22"/>
          <w:lang w:val="pt-BR"/>
        </w:rPr>
      </w:pPr>
      <w:r w:rsidRPr="00435155">
        <w:rPr>
          <w:noProof/>
          <w:sz w:val="22"/>
          <w:szCs w:val="22"/>
          <w:lang w:val="pt-BR"/>
        </w:rPr>
        <w:drawing>
          <wp:inline distT="0" distB="0" distL="0" distR="0" wp14:anchorId="2C3567DB" wp14:editId="2A011F45">
            <wp:extent cx="5903122" cy="4487333"/>
            <wp:effectExtent l="0" t="0" r="2540" b="0"/>
            <wp:docPr id="318245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24502" name="Picture 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32238" cy="4509466"/>
                    </a:xfrm>
                    <a:prstGeom prst="rect">
                      <a:avLst/>
                    </a:prstGeom>
                  </pic:spPr>
                </pic:pic>
              </a:graphicData>
            </a:graphic>
          </wp:inline>
        </w:drawing>
      </w:r>
    </w:p>
    <w:p w14:paraId="79AEA0FB" w14:textId="54B51FF9" w:rsidR="00C22494" w:rsidRPr="00435155" w:rsidRDefault="00C22494" w:rsidP="00326034">
      <w:pPr>
        <w:pStyle w:val="Caption"/>
        <w:spacing w:after="240"/>
        <w:jc w:val="both"/>
        <w:rPr>
          <w:sz w:val="22"/>
          <w:szCs w:val="22"/>
          <w:lang w:val="pt-BR"/>
        </w:rPr>
      </w:pPr>
      <w:r w:rsidRPr="00435155">
        <w:rPr>
          <w:sz w:val="22"/>
          <w:szCs w:val="22"/>
          <w:lang w:val="pt-BR"/>
        </w:rPr>
        <w:t xml:space="preserve">Figura </w:t>
      </w:r>
      <w:r w:rsidRPr="00435155">
        <w:rPr>
          <w:sz w:val="22"/>
          <w:szCs w:val="22"/>
        </w:rPr>
        <w:fldChar w:fldCharType="begin"/>
      </w:r>
      <w:r w:rsidRPr="00435155">
        <w:rPr>
          <w:sz w:val="22"/>
          <w:szCs w:val="22"/>
          <w:lang w:val="pt-BR"/>
        </w:rPr>
        <w:instrText xml:space="preserve"> SEQ Figura \* ARABIC </w:instrText>
      </w:r>
      <w:r w:rsidRPr="00435155">
        <w:rPr>
          <w:sz w:val="22"/>
          <w:szCs w:val="22"/>
        </w:rPr>
        <w:fldChar w:fldCharType="separate"/>
      </w:r>
      <w:r w:rsidRPr="00435155">
        <w:rPr>
          <w:noProof/>
          <w:sz w:val="22"/>
          <w:szCs w:val="22"/>
          <w:lang w:val="pt-BR"/>
        </w:rPr>
        <w:t>2</w:t>
      </w:r>
      <w:r w:rsidRPr="00435155">
        <w:rPr>
          <w:sz w:val="22"/>
          <w:szCs w:val="22"/>
        </w:rPr>
        <w:fldChar w:fldCharType="end"/>
      </w:r>
      <w:r w:rsidRPr="00435155">
        <w:rPr>
          <w:sz w:val="22"/>
          <w:szCs w:val="22"/>
          <w:lang w:val="pt-BR"/>
        </w:rPr>
        <w:t xml:space="preserve"> - Número total de referências entre todas as categorias por cada projeto</w:t>
      </w:r>
    </w:p>
    <w:p w14:paraId="44300980" w14:textId="77777777" w:rsidR="00435155" w:rsidRPr="00435155" w:rsidRDefault="00435155" w:rsidP="00326034">
      <w:pPr>
        <w:spacing w:after="240"/>
        <w:ind w:firstLine="720"/>
        <w:jc w:val="both"/>
        <w:rPr>
          <w:sz w:val="22"/>
          <w:szCs w:val="22"/>
          <w:lang w:val="pt-BR"/>
        </w:rPr>
      </w:pPr>
      <w:r w:rsidRPr="00435155">
        <w:rPr>
          <w:sz w:val="22"/>
          <w:szCs w:val="22"/>
          <w:lang w:val="pt-BR"/>
        </w:rPr>
        <w:t xml:space="preserve">A respeito do número total de referências de estratégias de engajamento (Figura 2), a iniciativa </w:t>
      </w:r>
      <w:proofErr w:type="spellStart"/>
      <w:r w:rsidRPr="00435155">
        <w:rPr>
          <w:sz w:val="22"/>
          <w:szCs w:val="22"/>
          <w:lang w:val="pt-BR"/>
        </w:rPr>
        <w:t>Cocôzap</w:t>
      </w:r>
      <w:proofErr w:type="spellEnd"/>
      <w:r w:rsidRPr="00435155">
        <w:rPr>
          <w:sz w:val="22"/>
          <w:szCs w:val="22"/>
          <w:lang w:val="pt-BR"/>
        </w:rPr>
        <w:t xml:space="preserve">, que objetivava incidir nas políticas públicas sanitárias do Complexo da Maré, demonstrou grande quantidade (n = 15) em relação às outras iniciativas observadas. Houve uma forte ênfase na manutenção da comunicação através de atualizações de resultados e em ações presenciais; seja essas ações reuniões compartilhando resultados ou recrutando influenciadores locais para disseminar o projeto e esclarecer dúvidas. </w:t>
      </w:r>
    </w:p>
    <w:p w14:paraId="01E94028" w14:textId="77777777" w:rsidR="00435155" w:rsidRPr="00435155" w:rsidRDefault="00435155" w:rsidP="00326034">
      <w:pPr>
        <w:spacing w:after="240"/>
        <w:ind w:firstLine="720"/>
        <w:jc w:val="both"/>
        <w:rPr>
          <w:sz w:val="22"/>
          <w:szCs w:val="22"/>
          <w:lang w:val="pt-BR"/>
        </w:rPr>
      </w:pPr>
      <w:r w:rsidRPr="00435155">
        <w:rPr>
          <w:sz w:val="22"/>
          <w:szCs w:val="22"/>
          <w:lang w:val="pt-BR"/>
        </w:rPr>
        <w:t>Outro projeto, Guardiões do Mar, que busca sensibilização ambiental do público infantil utilizando uma abordagem lúdica em oficinas, também apresentou um alto número de referências em estratégias de engajamento (n = 15). Por conta da participação de crianças e jovens, frequentemente se referenciou estratégias de empoderamento para instigar o senso de descoberta e diversão, como a abordagem lúdica em aulas em campo e o protagonismo infantil, permitindo à criança um primeiro contato com instrumentos de mediação científica. Isso demonstra como a faixa etária do público pode influenciar o tipo de estratégia adotada.</w:t>
      </w:r>
    </w:p>
    <w:p w14:paraId="6C4EEB09" w14:textId="77777777" w:rsidR="00435155" w:rsidRPr="00435155" w:rsidRDefault="00435155" w:rsidP="00326034">
      <w:pPr>
        <w:spacing w:after="240"/>
        <w:ind w:firstLine="720"/>
        <w:jc w:val="both"/>
        <w:rPr>
          <w:sz w:val="22"/>
          <w:szCs w:val="22"/>
          <w:lang w:val="pt-BR"/>
        </w:rPr>
      </w:pPr>
      <w:r w:rsidRPr="00435155">
        <w:rPr>
          <w:sz w:val="22"/>
          <w:szCs w:val="22"/>
          <w:lang w:val="pt-BR"/>
        </w:rPr>
        <w:t xml:space="preserve">O Sistema Urubu, desfrutou de maior tempo de apresentação e de discussão do que os demais (1h30m). Isso pode ter ocasionado o número elevado de referências em "Fortalezas do Projeto" (n = 14), </w:t>
      </w:r>
      <w:r w:rsidRPr="00435155">
        <w:rPr>
          <w:sz w:val="22"/>
          <w:szCs w:val="22"/>
          <w:lang w:val="pt-BR"/>
        </w:rPr>
        <w:lastRenderedPageBreak/>
        <w:t xml:space="preserve">mas também em "Fraquezas/Dificuldades" (n = 13), o que pode indicar complexidade de operação de projetos com aplicativos totalmente destinados à iniciativa. Ações como forte comunicação digital através do e-mail marketing; canais de escuta e implementação de feedback dos colaboradores; e gamificação como rankings, competição entre usuários, e </w:t>
      </w:r>
      <w:proofErr w:type="spellStart"/>
      <w:r w:rsidRPr="00435155">
        <w:rPr>
          <w:sz w:val="22"/>
          <w:szCs w:val="22"/>
          <w:lang w:val="pt-BR"/>
        </w:rPr>
        <w:t>badges</w:t>
      </w:r>
      <w:proofErr w:type="spellEnd"/>
      <w:r w:rsidRPr="00435155">
        <w:rPr>
          <w:sz w:val="22"/>
          <w:szCs w:val="22"/>
          <w:lang w:val="pt-BR"/>
        </w:rPr>
        <w:t xml:space="preserve">. </w:t>
      </w:r>
      <w:proofErr w:type="spellStart"/>
      <w:r w:rsidRPr="00435155">
        <w:rPr>
          <w:sz w:val="22"/>
          <w:szCs w:val="22"/>
          <w:lang w:val="pt-BR"/>
        </w:rPr>
        <w:t>Etter</w:t>
      </w:r>
      <w:proofErr w:type="spellEnd"/>
      <w:r w:rsidRPr="00435155">
        <w:rPr>
          <w:sz w:val="22"/>
          <w:szCs w:val="22"/>
          <w:lang w:val="pt-BR"/>
        </w:rPr>
        <w:t xml:space="preserve"> et al. (2023) discute ainda que elementos de gamificação podem fomentar a competitividade colaborativa, incentivar o senso de pertencimento entre usuários, além de reforçar motivações intrínsecas como: aprendizado, diversão e a interação entre usuários.</w:t>
      </w:r>
    </w:p>
    <w:p w14:paraId="24BF1C6D" w14:textId="2A9BB46E" w:rsidR="006B5D4C" w:rsidRDefault="00435155" w:rsidP="00326034">
      <w:pPr>
        <w:spacing w:after="240"/>
        <w:ind w:firstLine="720"/>
        <w:jc w:val="both"/>
        <w:rPr>
          <w:sz w:val="22"/>
          <w:szCs w:val="22"/>
          <w:lang w:val="pt-BR"/>
        </w:rPr>
      </w:pPr>
      <w:r w:rsidRPr="00435155">
        <w:rPr>
          <w:sz w:val="22"/>
          <w:szCs w:val="22"/>
          <w:lang w:val="pt-BR"/>
        </w:rPr>
        <w:t>A Associação de Produtores Cegos, um projeto cocriado, teve alta frequência de referências ligadas à palavra-chave “engajar” (n =10). A figura 2 mostra um gráfico de barras com o número total de referências por cada projeto. E usufruiu de estratégias voltadas ao empoderamento e adaptação para tornar as atividades mais acessível ao seu público-alvo (audiodescrição, mapas táteis, adaptação tecnológica).</w:t>
      </w:r>
    </w:p>
    <w:p w14:paraId="1C22F07A" w14:textId="77777777" w:rsidR="00326034" w:rsidRPr="00435155" w:rsidRDefault="00326034" w:rsidP="00326034">
      <w:pPr>
        <w:spacing w:after="240"/>
        <w:jc w:val="both"/>
        <w:rPr>
          <w:noProof/>
          <w:sz w:val="22"/>
          <w:szCs w:val="22"/>
          <w:lang w:val="pt-BR"/>
        </w:rPr>
      </w:pPr>
    </w:p>
    <w:p w14:paraId="179E8554" w14:textId="77777777" w:rsidR="00C22494" w:rsidRPr="00435155" w:rsidRDefault="00C22494" w:rsidP="00326034">
      <w:pPr>
        <w:keepNext/>
        <w:spacing w:after="240"/>
        <w:jc w:val="both"/>
        <w:rPr>
          <w:sz w:val="22"/>
          <w:szCs w:val="22"/>
          <w:lang w:val="pt-BR"/>
        </w:rPr>
      </w:pPr>
      <w:r w:rsidRPr="00435155">
        <w:rPr>
          <w:noProof/>
          <w:sz w:val="22"/>
          <w:szCs w:val="22"/>
          <w:lang w:val="pt-BR"/>
        </w:rPr>
        <w:drawing>
          <wp:inline distT="0" distB="0" distL="0" distR="0" wp14:anchorId="00708497" wp14:editId="58527145">
            <wp:extent cx="5943600" cy="2277703"/>
            <wp:effectExtent l="0" t="0" r="0" b="0"/>
            <wp:docPr id="1782835190" name="Picture 1" descr="A diagram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835190" name="Picture 1" descr="A diagram of different colors&#10;&#10;AI-generated content may be incorrect."/>
                    <pic:cNvPicPr/>
                  </pic:nvPicPr>
                  <pic:blipFill rotWithShape="1">
                    <a:blip r:embed="rId17" cstate="print">
                      <a:extLst>
                        <a:ext uri="{28A0092B-C50C-407E-A947-70E740481C1C}">
                          <a14:useLocalDpi xmlns:a14="http://schemas.microsoft.com/office/drawing/2010/main" val="0"/>
                        </a:ext>
                      </a:extLst>
                    </a:blip>
                    <a:srcRect l="-8" t="19567" r="8" b="12212"/>
                    <a:stretch>
                      <a:fillRect/>
                    </a:stretch>
                  </pic:blipFill>
                  <pic:spPr bwMode="auto">
                    <a:xfrm>
                      <a:off x="0" y="0"/>
                      <a:ext cx="5943600" cy="2277703"/>
                    </a:xfrm>
                    <a:prstGeom prst="rect">
                      <a:avLst/>
                    </a:prstGeom>
                    <a:ln>
                      <a:noFill/>
                    </a:ln>
                    <a:extLst>
                      <a:ext uri="{53640926-AAD7-44D8-BBD7-CCE9431645EC}">
                        <a14:shadowObscured xmlns:a14="http://schemas.microsoft.com/office/drawing/2010/main"/>
                      </a:ext>
                    </a:extLst>
                  </pic:spPr>
                </pic:pic>
              </a:graphicData>
            </a:graphic>
          </wp:inline>
        </w:drawing>
      </w:r>
    </w:p>
    <w:p w14:paraId="69830BCC" w14:textId="59636978" w:rsidR="00C22494" w:rsidRPr="00435155" w:rsidRDefault="00C22494" w:rsidP="00326034">
      <w:pPr>
        <w:pStyle w:val="Caption"/>
        <w:spacing w:after="240"/>
        <w:jc w:val="both"/>
        <w:rPr>
          <w:sz w:val="22"/>
          <w:szCs w:val="22"/>
          <w:lang w:val="pt-BR"/>
        </w:rPr>
      </w:pPr>
      <w:r w:rsidRPr="00435155">
        <w:rPr>
          <w:sz w:val="22"/>
          <w:szCs w:val="22"/>
          <w:lang w:val="pt-BR"/>
        </w:rPr>
        <w:t xml:space="preserve">Figura </w:t>
      </w:r>
      <w:r w:rsidRPr="00435155">
        <w:rPr>
          <w:sz w:val="22"/>
          <w:szCs w:val="22"/>
        </w:rPr>
        <w:fldChar w:fldCharType="begin"/>
      </w:r>
      <w:r w:rsidRPr="00435155">
        <w:rPr>
          <w:sz w:val="22"/>
          <w:szCs w:val="22"/>
          <w:lang w:val="pt-BR"/>
        </w:rPr>
        <w:instrText xml:space="preserve"> SEQ Figura \* ARABIC </w:instrText>
      </w:r>
      <w:r w:rsidRPr="00435155">
        <w:rPr>
          <w:sz w:val="22"/>
          <w:szCs w:val="22"/>
        </w:rPr>
        <w:fldChar w:fldCharType="separate"/>
      </w:r>
      <w:r w:rsidRPr="00435155">
        <w:rPr>
          <w:noProof/>
          <w:sz w:val="22"/>
          <w:szCs w:val="22"/>
          <w:lang w:val="pt-BR"/>
        </w:rPr>
        <w:t>3</w:t>
      </w:r>
      <w:r w:rsidRPr="00435155">
        <w:rPr>
          <w:sz w:val="22"/>
          <w:szCs w:val="22"/>
        </w:rPr>
        <w:fldChar w:fldCharType="end"/>
      </w:r>
      <w:r w:rsidRPr="00435155">
        <w:rPr>
          <w:sz w:val="22"/>
          <w:szCs w:val="22"/>
          <w:lang w:val="pt-BR"/>
        </w:rPr>
        <w:t xml:space="preserve"> – A. (esq.) Relação entre os tipos de ciência cidadã (Contributivo, Colaborativo e </w:t>
      </w:r>
      <w:proofErr w:type="spellStart"/>
      <w:r w:rsidRPr="00435155">
        <w:rPr>
          <w:sz w:val="22"/>
          <w:szCs w:val="22"/>
          <w:lang w:val="pt-BR"/>
        </w:rPr>
        <w:t>Co-criado</w:t>
      </w:r>
      <w:proofErr w:type="spellEnd"/>
      <w:r w:rsidRPr="00435155">
        <w:rPr>
          <w:sz w:val="22"/>
          <w:szCs w:val="22"/>
          <w:lang w:val="pt-BR"/>
        </w:rPr>
        <w:t>) e as categorias de engajamento utilizadas nas iniciativas analisadas. B. (dir.) Relação entre as temáticas de cada iniciativa e a distribuição das categorias de engajamento.</w:t>
      </w:r>
    </w:p>
    <w:p w14:paraId="1DC47C79" w14:textId="77777777" w:rsidR="00435155" w:rsidRPr="00435155" w:rsidRDefault="00435155" w:rsidP="00326034">
      <w:pPr>
        <w:spacing w:after="240"/>
        <w:ind w:firstLine="720"/>
        <w:jc w:val="both"/>
        <w:rPr>
          <w:sz w:val="22"/>
          <w:szCs w:val="22"/>
          <w:lang w:val="pt-BR"/>
        </w:rPr>
      </w:pPr>
      <w:r w:rsidRPr="00435155">
        <w:rPr>
          <w:sz w:val="22"/>
          <w:szCs w:val="22"/>
          <w:lang w:val="pt-BR"/>
        </w:rPr>
        <w:t xml:space="preserve">‘Fortalecimento das Redes Sociais’ e ‘Comunicação Eficaz e Personalizada’ esteve presente entre as três tipologias e todas as temáticas. Esta distribuição pode indicar que as estratégias dessas duas categorias são </w:t>
      </w:r>
      <w:proofErr w:type="gramStart"/>
      <w:r w:rsidRPr="00435155">
        <w:rPr>
          <w:sz w:val="22"/>
          <w:szCs w:val="22"/>
          <w:lang w:val="pt-BR"/>
        </w:rPr>
        <w:t>universais e aplicáveis</w:t>
      </w:r>
      <w:proofErr w:type="gramEnd"/>
      <w:r w:rsidRPr="00435155">
        <w:rPr>
          <w:sz w:val="22"/>
          <w:szCs w:val="22"/>
          <w:lang w:val="pt-BR"/>
        </w:rPr>
        <w:t xml:space="preserve"> em todos os tipos de projetos. Além disso, isso revela a importância das redes de contatos e de manter ativo através, entre outras coisas, da participação em eventos e sustentando relações de reciprocidade com outros grupos. Com relação aos participantes das iniciativas, neste aspecto, é essencial construir relações de confiança e zelar por uma comunicação contínua, seja por meio de encontros presenciais ou compartilhando resultados derivados de sua participação. As relações entre os tipos de ciência cidadã e as categorias do engajamento estão demonstradas na Figura 3.A. </w:t>
      </w:r>
    </w:p>
    <w:p w14:paraId="20618EDA" w14:textId="59B20707" w:rsidR="00435155" w:rsidRPr="00435155" w:rsidRDefault="00435155" w:rsidP="00326034">
      <w:pPr>
        <w:spacing w:after="240"/>
        <w:ind w:firstLine="720"/>
        <w:jc w:val="both"/>
        <w:rPr>
          <w:sz w:val="22"/>
          <w:szCs w:val="22"/>
          <w:lang w:val="pt-BR"/>
        </w:rPr>
      </w:pPr>
      <w:r w:rsidRPr="00435155">
        <w:rPr>
          <w:sz w:val="22"/>
          <w:szCs w:val="22"/>
          <w:lang w:val="pt-BR"/>
        </w:rPr>
        <w:t xml:space="preserve">Projetos Contributivos tiveram maior ligação com ‘Monitoramento e Avaliação’, ‘Motivação’ e ‘Incentivos e Reconhecimento’; esta relação pode ter ocorrido devido a dificuldade de retenção de usuários em aplicativos móveis e de competir com outros aplicativos que mantém os constantemente engajados. Recorrendo a estratégias a estratégias que estimulam a motivação tendo que fazer uso, por exemplo, de estratégias de gamificação através de rankings, </w:t>
      </w:r>
      <w:proofErr w:type="spellStart"/>
      <w:r w:rsidRPr="00435155">
        <w:rPr>
          <w:sz w:val="22"/>
          <w:szCs w:val="22"/>
          <w:lang w:val="pt-BR"/>
        </w:rPr>
        <w:t>badges</w:t>
      </w:r>
      <w:proofErr w:type="spellEnd"/>
      <w:r w:rsidRPr="00435155">
        <w:rPr>
          <w:sz w:val="22"/>
          <w:szCs w:val="22"/>
          <w:lang w:val="pt-BR"/>
        </w:rPr>
        <w:t xml:space="preserve"> e competições entre locais. Esses tipos de estratégias têm se demonstrado efetivos em outros estudos como o de </w:t>
      </w:r>
      <w:proofErr w:type="spellStart"/>
      <w:r w:rsidRPr="00435155">
        <w:rPr>
          <w:sz w:val="22"/>
          <w:szCs w:val="22"/>
          <w:lang w:val="pt-BR"/>
        </w:rPr>
        <w:t>Laut</w:t>
      </w:r>
      <w:proofErr w:type="spellEnd"/>
      <w:r w:rsidRPr="00435155">
        <w:rPr>
          <w:sz w:val="22"/>
          <w:szCs w:val="22"/>
          <w:lang w:val="pt-BR"/>
        </w:rPr>
        <w:t xml:space="preserve"> et al. (2017) no qual foram observados aumento de contribuições individuais após participantes serem informados do desempenho de outros participantes. </w:t>
      </w:r>
    </w:p>
    <w:p w14:paraId="3CD9A509" w14:textId="51B8499A" w:rsidR="00326034" w:rsidRDefault="00435155" w:rsidP="00326034">
      <w:pPr>
        <w:spacing w:after="240"/>
        <w:ind w:firstLine="720"/>
        <w:jc w:val="both"/>
        <w:rPr>
          <w:sz w:val="22"/>
          <w:szCs w:val="22"/>
          <w:lang w:val="pt-BR"/>
        </w:rPr>
      </w:pPr>
      <w:r w:rsidRPr="00435155">
        <w:rPr>
          <w:sz w:val="22"/>
          <w:szCs w:val="22"/>
          <w:lang w:val="pt-BR"/>
        </w:rPr>
        <w:lastRenderedPageBreak/>
        <w:t xml:space="preserve">A temática ‘Saúde’, no qual está inserida a iniciativa </w:t>
      </w:r>
      <w:proofErr w:type="spellStart"/>
      <w:r w:rsidRPr="00435155">
        <w:rPr>
          <w:sz w:val="22"/>
          <w:szCs w:val="22"/>
          <w:lang w:val="pt-BR"/>
        </w:rPr>
        <w:t>Cocôzap</w:t>
      </w:r>
      <w:proofErr w:type="spellEnd"/>
      <w:r w:rsidRPr="00435155">
        <w:rPr>
          <w:sz w:val="22"/>
          <w:szCs w:val="22"/>
          <w:lang w:val="pt-BR"/>
        </w:rPr>
        <w:t>, apresentou alta frequência de referências em ‘Cocriação e Empoderamento’, ‘Fortalecimento das Redes Sociais’, ‘Comunicação Eficaz e Personalizada’ (Figura 3.B). Uma estratégia criada por esta iniciativa foi a utilização de ferramentas rotineiras do público-alvo, neste caso foi empregado um aplicativo popular de troca de mensagem instantânea para coletar os dados. O motivo por trás desta escolha, foi devido às vantagens que isso traria em relação ao envolvimento público, assim no processo também poupando esforços internos para desenvolver um aplicativo e ensinar moradores locais a utilizá-lo. Ao fazer isso, a iniciativa acaba indiretamente expandindo a potencial participação pública e diminuindo as barreiras de acesso à ciência através da participação online (</w:t>
      </w:r>
      <w:proofErr w:type="spellStart"/>
      <w:r w:rsidRPr="00435155">
        <w:rPr>
          <w:sz w:val="22"/>
          <w:szCs w:val="22"/>
          <w:lang w:val="pt-BR"/>
        </w:rPr>
        <w:t>Grigoletto</w:t>
      </w:r>
      <w:proofErr w:type="spellEnd"/>
      <w:r w:rsidRPr="00435155">
        <w:rPr>
          <w:sz w:val="22"/>
          <w:szCs w:val="22"/>
          <w:lang w:val="pt-BR"/>
        </w:rPr>
        <w:t xml:space="preserve"> et al. 2023).  </w:t>
      </w:r>
    </w:p>
    <w:p w14:paraId="65322741" w14:textId="3E8CDBD1" w:rsidR="00E81976" w:rsidRPr="00435155" w:rsidRDefault="00D56FD9" w:rsidP="00326034">
      <w:pPr>
        <w:spacing w:after="240"/>
        <w:jc w:val="both"/>
        <w:rPr>
          <w:sz w:val="22"/>
          <w:szCs w:val="22"/>
          <w:lang w:val="pt-BR"/>
        </w:rPr>
      </w:pPr>
      <w:r w:rsidRPr="00435155">
        <w:rPr>
          <w:sz w:val="22"/>
          <w:szCs w:val="22"/>
          <w:lang w:val="pt-BR"/>
        </w:rPr>
        <w:t>Implicações e conclusões:</w:t>
      </w:r>
    </w:p>
    <w:p w14:paraId="4031D902" w14:textId="77777777" w:rsidR="00435155" w:rsidRPr="00435155" w:rsidRDefault="00435155" w:rsidP="00326034">
      <w:pPr>
        <w:spacing w:after="240"/>
        <w:ind w:firstLine="720"/>
        <w:jc w:val="both"/>
        <w:rPr>
          <w:sz w:val="22"/>
          <w:szCs w:val="22"/>
          <w:lang w:val="pt-BR"/>
        </w:rPr>
      </w:pPr>
      <w:r w:rsidRPr="00435155">
        <w:rPr>
          <w:sz w:val="22"/>
          <w:szCs w:val="22"/>
          <w:lang w:val="pt-BR"/>
        </w:rPr>
        <w:t xml:space="preserve">Durante o estudo, houve dificuldades em categorizar iniciativas dentre as tipologias de ciência cidadã devido às especificidades de cada iniciativa e a forma como incorporam o participante </w:t>
      </w:r>
      <w:proofErr w:type="spellStart"/>
      <w:r w:rsidRPr="00435155">
        <w:rPr>
          <w:sz w:val="22"/>
          <w:szCs w:val="22"/>
          <w:lang w:val="pt-BR"/>
        </w:rPr>
        <w:t>não-acadêmico</w:t>
      </w:r>
      <w:proofErr w:type="spellEnd"/>
      <w:r w:rsidRPr="00435155">
        <w:rPr>
          <w:sz w:val="22"/>
          <w:szCs w:val="22"/>
          <w:lang w:val="pt-BR"/>
        </w:rPr>
        <w:t xml:space="preserve"> no projeto de pesquisa combinado com a natureza abrangente das categorias desenvolvida por </w:t>
      </w:r>
      <w:proofErr w:type="spellStart"/>
      <w:r w:rsidRPr="00435155">
        <w:rPr>
          <w:sz w:val="22"/>
          <w:szCs w:val="22"/>
          <w:lang w:val="pt-BR"/>
        </w:rPr>
        <w:t>Bonney</w:t>
      </w:r>
      <w:proofErr w:type="spellEnd"/>
      <w:r w:rsidRPr="00435155">
        <w:rPr>
          <w:sz w:val="22"/>
          <w:szCs w:val="22"/>
          <w:lang w:val="pt-BR"/>
        </w:rPr>
        <w:t xml:space="preserve"> et al. 2009. Apesar dessa dificuldade, foi observado uma predominância de projetos classificados como colaborativos. Isso pode demonstrar a intenção dos coordenadores de proporcionar aos participantes uma oportunidade de aprofundamento do conhecimento sobre o projeto e a temática abordada através de um papel mais ativo na iniciativa indo além da coleta de dados. A predominância da abordagem colaborativa pode estar relacionada ao histórico latino-americano de envolver a participação da comunidade em pesquisa-ação apontada por D’Onofrio et al. (2024). Já </w:t>
      </w:r>
      <w:proofErr w:type="spellStart"/>
      <w:r w:rsidRPr="00435155">
        <w:rPr>
          <w:sz w:val="22"/>
          <w:szCs w:val="22"/>
          <w:lang w:val="pt-BR"/>
        </w:rPr>
        <w:t>Haklay</w:t>
      </w:r>
      <w:proofErr w:type="spellEnd"/>
      <w:r w:rsidRPr="00435155">
        <w:rPr>
          <w:sz w:val="22"/>
          <w:szCs w:val="22"/>
          <w:lang w:val="pt-BR"/>
        </w:rPr>
        <w:t xml:space="preserve"> (2013) afirma que esta abordagem mais aprofundada traz a vantagem de engajar a habilidade cognitiva dos voluntários. </w:t>
      </w:r>
    </w:p>
    <w:p w14:paraId="535EFD70" w14:textId="77777777" w:rsidR="00435155" w:rsidRPr="00435155" w:rsidRDefault="00435155" w:rsidP="00326034">
      <w:pPr>
        <w:spacing w:after="240"/>
        <w:ind w:firstLine="720"/>
        <w:jc w:val="both"/>
        <w:rPr>
          <w:sz w:val="22"/>
          <w:szCs w:val="22"/>
          <w:lang w:val="pt-BR"/>
        </w:rPr>
      </w:pPr>
      <w:r w:rsidRPr="00435155">
        <w:rPr>
          <w:sz w:val="22"/>
          <w:szCs w:val="22"/>
          <w:lang w:val="pt-BR"/>
        </w:rPr>
        <w:t xml:space="preserve">Similarmente, em </w:t>
      </w:r>
      <w:proofErr w:type="spellStart"/>
      <w:r w:rsidRPr="00435155">
        <w:rPr>
          <w:sz w:val="22"/>
          <w:szCs w:val="22"/>
          <w:lang w:val="pt-BR"/>
        </w:rPr>
        <w:t>Jennett</w:t>
      </w:r>
      <w:proofErr w:type="spellEnd"/>
      <w:r w:rsidRPr="00435155">
        <w:rPr>
          <w:sz w:val="22"/>
          <w:szCs w:val="22"/>
          <w:lang w:val="pt-BR"/>
        </w:rPr>
        <w:t xml:space="preserve"> et al. (2016) é afirmado que quanto mais possibilidades de engajar em diferentes atividades envolvendo o projeto, especialmente em atividades sociais, maior é o aprendizado. E ainda acrescenta declarando o aprendizado em ciência cidadã ser desestruturado, informal e ou acidental, e que a repetição das atividades possibilita a aquisição de novas habilidades e autoconfiança. Os estudos de caso trazidos neste estudo reforçam estas perspectivas visto a variedade de atividades exploradas pela Associação de Produtores Cegos de cartografia como mapa táteis, adaptação de instrumentos e a audiodescrição; tornou a compreensão sobre os desastres ambientais acessível. Bem como, os instrumentos científicos e o aproveitamento da proximidade da praia e do fascínio da infância que foram bem aproveitados nas atividades do Monitoramento Mirim Costeiro, criando oportunidades de envolver diferentes atividades com recreação.</w:t>
      </w:r>
    </w:p>
    <w:p w14:paraId="7E2D981C" w14:textId="77777777" w:rsidR="00435155" w:rsidRPr="00435155" w:rsidRDefault="00435155" w:rsidP="00326034">
      <w:pPr>
        <w:spacing w:after="240"/>
        <w:ind w:firstLine="720"/>
        <w:jc w:val="both"/>
        <w:rPr>
          <w:sz w:val="22"/>
          <w:szCs w:val="22"/>
          <w:lang w:val="pt-BR"/>
        </w:rPr>
      </w:pPr>
      <w:r w:rsidRPr="00435155">
        <w:rPr>
          <w:sz w:val="22"/>
          <w:szCs w:val="22"/>
          <w:lang w:val="pt-BR"/>
        </w:rPr>
        <w:t xml:space="preserve">Os aspectos social, cognitivo, comportamental e afetivo compõem as dimensões do engajamento e são explorados tanto em Marques et al. (2024) quanto Phillips et al. (2019). Estes afirmam que a participação não se deve apenas à existência de recursos, é necessário a motivação e o interesse pela utilização das ferramentas e pelo assunto para ter o engajamento com a ciência cidadã. Em Phillips et al. (2019) é levantado pela primeira vez o framework das complexidades do engajamento anexado à motivação intrínseca e extrínseca. Em Marques et al. (2024) se traz a perspectiva de marketing ao engajamento e a ideia de valor </w:t>
      </w:r>
      <w:proofErr w:type="spellStart"/>
      <w:r w:rsidRPr="00435155">
        <w:rPr>
          <w:sz w:val="22"/>
          <w:szCs w:val="22"/>
          <w:lang w:val="pt-BR"/>
        </w:rPr>
        <w:t>cocriacional</w:t>
      </w:r>
      <w:proofErr w:type="spellEnd"/>
      <w:r w:rsidRPr="00435155">
        <w:rPr>
          <w:sz w:val="22"/>
          <w:szCs w:val="22"/>
          <w:lang w:val="pt-BR"/>
        </w:rPr>
        <w:t xml:space="preserve"> que fruto das produções científicas com auxílio dos voluntários </w:t>
      </w:r>
      <w:proofErr w:type="spellStart"/>
      <w:r w:rsidRPr="00435155">
        <w:rPr>
          <w:sz w:val="22"/>
          <w:szCs w:val="22"/>
          <w:lang w:val="pt-BR"/>
        </w:rPr>
        <w:t>não-acadêmicos</w:t>
      </w:r>
      <w:proofErr w:type="spellEnd"/>
      <w:r w:rsidRPr="00435155">
        <w:rPr>
          <w:sz w:val="22"/>
          <w:szCs w:val="22"/>
          <w:lang w:val="pt-BR"/>
        </w:rPr>
        <w:t>. E para as próximas etapas do estudo, tem-se a intenção de incluir estas dimensões ao adquirir as perspectivas de voluntários de ciência cidadã.</w:t>
      </w:r>
    </w:p>
    <w:p w14:paraId="363175FD" w14:textId="77777777" w:rsidR="00435155" w:rsidRPr="00435155" w:rsidRDefault="00435155" w:rsidP="00326034">
      <w:pPr>
        <w:spacing w:after="240"/>
        <w:ind w:firstLine="720"/>
        <w:jc w:val="both"/>
        <w:rPr>
          <w:sz w:val="22"/>
          <w:szCs w:val="22"/>
          <w:lang w:val="pt-BR"/>
        </w:rPr>
      </w:pPr>
      <w:r w:rsidRPr="00435155">
        <w:rPr>
          <w:sz w:val="22"/>
          <w:szCs w:val="22"/>
          <w:lang w:val="pt-BR"/>
        </w:rPr>
        <w:t xml:space="preserve">No início deste estudo partiu-se da suposição de que os temas abordados pelos projetos constituíam uma variável determinante na escolha das estratégias de engajamento. Entretanto, a partir das análises apresentadas, observa-se que as estratégias adotadas mostram pouca relação com a temática dos projetos. As estratégias adotadas dependem, não só do tipo de ciência cidadã, mas também do contexto de onde elas ocorrem. Durante o desenvolvimento das análises, identificou-se que o contexto no qual cada projeto está inserido; incluindo aspectos como localização geográfica, público-alvo, situação socioeconômica, escala e </w:t>
      </w:r>
      <w:r w:rsidRPr="00435155">
        <w:rPr>
          <w:sz w:val="22"/>
          <w:szCs w:val="22"/>
          <w:lang w:val="pt-BR"/>
        </w:rPr>
        <w:lastRenderedPageBreak/>
        <w:t>duração da participação. Estes aspectos parecem exercer maior influência na definição das estratégias de engajamento. Essa hipótese será aprofundada nas próximas etapas do estudo.</w:t>
      </w:r>
    </w:p>
    <w:p w14:paraId="19079FED" w14:textId="2197A597" w:rsidR="00326034" w:rsidRDefault="00435155" w:rsidP="00326034">
      <w:pPr>
        <w:spacing w:after="240"/>
        <w:ind w:firstLine="720"/>
        <w:jc w:val="both"/>
        <w:rPr>
          <w:sz w:val="22"/>
          <w:szCs w:val="22"/>
          <w:lang w:val="pt-BR"/>
        </w:rPr>
      </w:pPr>
      <w:r w:rsidRPr="00435155">
        <w:rPr>
          <w:sz w:val="22"/>
          <w:szCs w:val="22"/>
          <w:lang w:val="pt-BR"/>
        </w:rPr>
        <w:t>Por mais que estas palestras trouxeram perspectivas importantes sobre as iniciativas e suas estratégias de engajamento públicos, devido a limitação de tempo de debate intrínseco à natureza deste evento, ainda há questões que demandam esclarecimento. Dúvidas que variam desde como coordenadores caracterizam a iniciativa a reflexões sobre o impacto das estratégias utilizadas. Entretanto, como próximos passos, é pretendido realizar entrevistas com estes mesmos oradores para assim propiciar um espaço para uma conversa aprofundada das estratégias de engajamento empregadas e a estrutura organizacional de cada iniciativa. Além de aplicar questionários com voluntários de iniciativas de ciência cidadã a fim de abranger também as perspectivas dos participantes.</w:t>
      </w:r>
    </w:p>
    <w:p w14:paraId="571B2AD4" w14:textId="61CA1BC1" w:rsidR="00C6518F" w:rsidRDefault="00435155" w:rsidP="00326034">
      <w:pPr>
        <w:spacing w:after="240"/>
        <w:jc w:val="both"/>
        <w:rPr>
          <w:sz w:val="22"/>
          <w:szCs w:val="22"/>
          <w:lang w:val="pt-BR"/>
        </w:rPr>
      </w:pPr>
      <w:r w:rsidRPr="00435155">
        <w:rPr>
          <w:sz w:val="22"/>
          <w:szCs w:val="22"/>
          <w:lang w:val="pt-BR"/>
        </w:rPr>
        <w:t>Declaração de uso de IA: Ferramentas utilizadas Sonix.AI versão 2023, empregado exclusivamente para converter automaticamente o áudio em texto; Propósito: transcrição de áudios; Nível de supervisão humana: a revisão, limpeza e correção das transcrições feitas manualmente; O processo não envolveu o uso de prompts; Cumprimento ético: O uso da ferramenta seguiu princípios éticos, garantindo exatidão, confidencialidade de dados e respeito às licenças de uso.</w:t>
      </w:r>
    </w:p>
    <w:p w14:paraId="5100507A" w14:textId="4A41BDCC" w:rsidR="00D56FD9" w:rsidRPr="00435155" w:rsidRDefault="00D56FD9" w:rsidP="00326034">
      <w:pPr>
        <w:spacing w:after="240"/>
        <w:jc w:val="both"/>
        <w:rPr>
          <w:sz w:val="22"/>
          <w:szCs w:val="22"/>
          <w:lang w:val="pt-BR"/>
        </w:rPr>
      </w:pPr>
      <w:r w:rsidRPr="00435155">
        <w:rPr>
          <w:sz w:val="22"/>
          <w:szCs w:val="22"/>
          <w:lang w:val="pt-BR"/>
        </w:rPr>
        <w:t>Agradecimentos e financiamento:</w:t>
      </w:r>
    </w:p>
    <w:p w14:paraId="6865548B" w14:textId="54A820FC" w:rsidR="00D56FD9" w:rsidRPr="00435155" w:rsidRDefault="00D56FD9" w:rsidP="00326034">
      <w:pPr>
        <w:spacing w:after="240"/>
        <w:jc w:val="both"/>
        <w:rPr>
          <w:sz w:val="22"/>
          <w:szCs w:val="22"/>
          <w:lang w:val="pt-BR"/>
        </w:rPr>
      </w:pPr>
      <w:r w:rsidRPr="00435155">
        <w:rPr>
          <w:sz w:val="22"/>
          <w:szCs w:val="22"/>
          <w:lang w:val="pt-BR"/>
        </w:rPr>
        <w:tab/>
      </w:r>
      <w:r w:rsidR="004C1574" w:rsidRPr="00435155">
        <w:rPr>
          <w:sz w:val="22"/>
          <w:szCs w:val="22"/>
          <w:lang w:val="pt-BR"/>
        </w:rPr>
        <w:t xml:space="preserve">Agradecemos ao Instituto Nacional de Ciência Cidadã, que possibilitou a criação de um ambiente de pesquisa frutífero através da interação de diferentes pesquisadores, especialmente à linha de Coprodução e Engajamento. Agradecemos à Rede Brasileira de Ciência Cidadã (RBCC), por fomentar e ampliar a discussão de ciência cidadã no contexto brasileiro. </w:t>
      </w:r>
      <w:r w:rsidR="001B391D" w:rsidRPr="00435155">
        <w:rPr>
          <w:sz w:val="22"/>
          <w:szCs w:val="22"/>
          <w:lang w:val="pt-BR"/>
        </w:rPr>
        <w:t>Julianna Toyota Arita agradece a concessão de bolsa de desenvolvimento tecnológico fornecida pela CNPq (Processo 384277/2024-1).</w:t>
      </w:r>
      <w:r w:rsidR="001B391D">
        <w:rPr>
          <w:sz w:val="22"/>
          <w:szCs w:val="22"/>
          <w:lang w:val="pt-BR"/>
        </w:rPr>
        <w:t xml:space="preserve"> </w:t>
      </w:r>
      <w:r w:rsidR="004C1574" w:rsidRPr="00435155">
        <w:rPr>
          <w:sz w:val="22"/>
          <w:szCs w:val="22"/>
          <w:lang w:val="pt-BR"/>
        </w:rPr>
        <w:t xml:space="preserve">Jeferson Coutinho agradece a concessão da bolsa de pós-doutorado fornecida pela CAPES (Coordenação de Aperfeiçoamento de Pessoal de Nível Superior / Processo 88887.990390/2024-00), Blandina Felipe Viana agradece ao Conselho Nacional de Desenvolvimento Científico e Tecnológico (CNPq/processo 303705/2025-6) pela concessão da bolsa de produtividade em pesquisa. </w:t>
      </w:r>
    </w:p>
    <w:p w14:paraId="6073AC66" w14:textId="77777777" w:rsidR="00326034" w:rsidRDefault="00326034" w:rsidP="009F5982">
      <w:pPr>
        <w:pStyle w:val="Bibliography"/>
        <w:jc w:val="both"/>
        <w:rPr>
          <w:sz w:val="22"/>
          <w:szCs w:val="22"/>
          <w:lang w:val="pt-BR"/>
        </w:rPr>
      </w:pPr>
    </w:p>
    <w:p w14:paraId="771E58BF" w14:textId="022F0230" w:rsidR="0037524D" w:rsidRPr="00090DAD" w:rsidRDefault="00D56FD9" w:rsidP="009F5982">
      <w:pPr>
        <w:pStyle w:val="Bibliography"/>
        <w:jc w:val="both"/>
        <w:rPr>
          <w:sz w:val="22"/>
          <w:szCs w:val="22"/>
          <w:lang w:val="pt-BR"/>
        </w:rPr>
      </w:pPr>
      <w:r w:rsidRPr="00090DAD">
        <w:rPr>
          <w:sz w:val="22"/>
          <w:szCs w:val="22"/>
          <w:lang w:val="pt-BR"/>
        </w:rPr>
        <w:t>Referências:</w:t>
      </w:r>
    </w:p>
    <w:p w14:paraId="3F20D446" w14:textId="77777777" w:rsidR="00801775" w:rsidRPr="00801775" w:rsidRDefault="00A26375" w:rsidP="00801775">
      <w:pPr>
        <w:pStyle w:val="Bibliography"/>
        <w:rPr>
          <w:color w:val="000000"/>
          <w:sz w:val="22"/>
          <w:szCs w:val="22"/>
        </w:rPr>
      </w:pPr>
      <w:proofErr w:type="spellStart"/>
      <w:r w:rsidRPr="007A07E8">
        <w:rPr>
          <w:color w:val="000000"/>
          <w:sz w:val="22"/>
          <w:szCs w:val="22"/>
        </w:rPr>
        <w:t>Albagli</w:t>
      </w:r>
      <w:proofErr w:type="spellEnd"/>
      <w:r w:rsidRPr="007A07E8">
        <w:rPr>
          <w:color w:val="000000"/>
          <w:sz w:val="22"/>
          <w:szCs w:val="22"/>
        </w:rPr>
        <w:t xml:space="preserve">, S., </w:t>
      </w:r>
      <w:proofErr w:type="spellStart"/>
      <w:r w:rsidRPr="007A07E8">
        <w:rPr>
          <w:color w:val="000000"/>
          <w:sz w:val="22"/>
          <w:szCs w:val="22"/>
        </w:rPr>
        <w:t>Clinio</w:t>
      </w:r>
      <w:proofErr w:type="spellEnd"/>
      <w:r w:rsidRPr="007A07E8">
        <w:rPr>
          <w:color w:val="000000"/>
          <w:sz w:val="22"/>
          <w:szCs w:val="22"/>
        </w:rPr>
        <w:t xml:space="preserve">, A., &amp; </w:t>
      </w:r>
      <w:proofErr w:type="spellStart"/>
      <w:r w:rsidRPr="007A07E8">
        <w:rPr>
          <w:color w:val="000000"/>
          <w:sz w:val="22"/>
          <w:szCs w:val="22"/>
        </w:rPr>
        <w:t>Raychtock</w:t>
      </w:r>
      <w:proofErr w:type="spellEnd"/>
      <w:r w:rsidRPr="007A07E8">
        <w:rPr>
          <w:color w:val="000000"/>
          <w:sz w:val="22"/>
          <w:szCs w:val="22"/>
        </w:rPr>
        <w:t xml:space="preserve">, S. (2014). </w:t>
      </w:r>
      <w:r w:rsidRPr="00801775">
        <w:rPr>
          <w:color w:val="000000"/>
          <w:sz w:val="22"/>
          <w:szCs w:val="22"/>
          <w:lang w:val="pt-BR"/>
        </w:rPr>
        <w:t xml:space="preserve">Ciência Aberta: Correntes interpretativas e tipos de ação. </w:t>
      </w:r>
      <w:proofErr w:type="spellStart"/>
      <w:r w:rsidRPr="00801775">
        <w:rPr>
          <w:i/>
          <w:iCs/>
          <w:color w:val="000000"/>
          <w:sz w:val="22"/>
          <w:szCs w:val="22"/>
        </w:rPr>
        <w:t>Liinc</w:t>
      </w:r>
      <w:proofErr w:type="spellEnd"/>
      <w:r w:rsidRPr="00801775">
        <w:rPr>
          <w:i/>
          <w:iCs/>
          <w:color w:val="000000"/>
          <w:sz w:val="22"/>
          <w:szCs w:val="22"/>
        </w:rPr>
        <w:t xml:space="preserve"> </w:t>
      </w:r>
      <w:proofErr w:type="spellStart"/>
      <w:r w:rsidRPr="00801775">
        <w:rPr>
          <w:i/>
          <w:iCs/>
          <w:color w:val="000000"/>
          <w:sz w:val="22"/>
          <w:szCs w:val="22"/>
        </w:rPr>
        <w:t>em</w:t>
      </w:r>
      <w:proofErr w:type="spellEnd"/>
      <w:r w:rsidRPr="00801775">
        <w:rPr>
          <w:i/>
          <w:iCs/>
          <w:color w:val="000000"/>
          <w:sz w:val="22"/>
          <w:szCs w:val="22"/>
        </w:rPr>
        <w:t xml:space="preserve"> Revista</w:t>
      </w:r>
      <w:r w:rsidRPr="00801775">
        <w:rPr>
          <w:color w:val="000000"/>
          <w:sz w:val="22"/>
          <w:szCs w:val="22"/>
        </w:rPr>
        <w:t>.</w:t>
      </w:r>
    </w:p>
    <w:p w14:paraId="6440873F" w14:textId="77777777" w:rsidR="00801775" w:rsidRPr="00896B1C" w:rsidRDefault="00A26375" w:rsidP="00801775">
      <w:pPr>
        <w:pStyle w:val="Bibliography"/>
        <w:rPr>
          <w:color w:val="000000"/>
          <w:sz w:val="22"/>
          <w:szCs w:val="22"/>
        </w:rPr>
      </w:pPr>
      <w:r w:rsidRPr="00801775">
        <w:rPr>
          <w:color w:val="000000"/>
          <w:sz w:val="22"/>
          <w:szCs w:val="22"/>
        </w:rPr>
        <w:t xml:space="preserve">Bonney, R., Ballard, H., Jordan, R., McCallie, E., Phillips, T., Shirk, J., &amp; Wilderman, C. C. (2009). Public Participation in Scientific Research: Defining the Field and Assessing Its Potential for Informal Science Education. A CAISE Inquiry Group Report. Em </w:t>
      </w:r>
      <w:r w:rsidRPr="00801775">
        <w:rPr>
          <w:i/>
          <w:iCs/>
          <w:color w:val="000000"/>
          <w:sz w:val="22"/>
          <w:szCs w:val="22"/>
        </w:rPr>
        <w:t>Online Submission</w:t>
      </w:r>
      <w:r w:rsidRPr="00801775">
        <w:rPr>
          <w:color w:val="000000"/>
          <w:sz w:val="22"/>
          <w:szCs w:val="22"/>
        </w:rPr>
        <w:t>. https://eric.ed.gov/?id=ED519688</w:t>
      </w:r>
    </w:p>
    <w:p w14:paraId="5822E62A" w14:textId="77777777" w:rsidR="00B4588D" w:rsidRDefault="00A26375" w:rsidP="00B4588D">
      <w:pPr>
        <w:pStyle w:val="Bibliography"/>
        <w:rPr>
          <w:color w:val="000000"/>
          <w:sz w:val="22"/>
          <w:szCs w:val="22"/>
          <w:lang w:val="pt-BR"/>
        </w:rPr>
      </w:pPr>
      <w:r w:rsidRPr="00801775">
        <w:rPr>
          <w:color w:val="000000"/>
          <w:sz w:val="22"/>
          <w:szCs w:val="22"/>
          <w:lang w:val="pt-BR"/>
        </w:rPr>
        <w:t xml:space="preserve">Carvalho, E. R. S. D., &amp; Leite, F. C. L. (2020). Análise do atual cenário da pesquisa científica sobre a ciência cidadã no campo da ciência da informação. </w:t>
      </w:r>
      <w:r w:rsidRPr="00801775">
        <w:rPr>
          <w:i/>
          <w:iCs/>
          <w:color w:val="000000"/>
          <w:sz w:val="22"/>
          <w:szCs w:val="22"/>
          <w:lang w:val="pt-BR"/>
        </w:rPr>
        <w:t xml:space="preserve">Páginas </w:t>
      </w:r>
      <w:proofErr w:type="spellStart"/>
      <w:r w:rsidRPr="00801775">
        <w:rPr>
          <w:i/>
          <w:iCs/>
          <w:color w:val="000000"/>
          <w:sz w:val="22"/>
          <w:szCs w:val="22"/>
          <w:lang w:val="pt-BR"/>
        </w:rPr>
        <w:t>a&amp;</w:t>
      </w:r>
      <w:proofErr w:type="gramStart"/>
      <w:r w:rsidRPr="00801775">
        <w:rPr>
          <w:i/>
          <w:iCs/>
          <w:color w:val="000000"/>
          <w:sz w:val="22"/>
          <w:szCs w:val="22"/>
          <w:lang w:val="pt-BR"/>
        </w:rPr>
        <w:t>b</w:t>
      </w:r>
      <w:proofErr w:type="spellEnd"/>
      <w:r w:rsidRPr="00801775">
        <w:rPr>
          <w:i/>
          <w:iCs/>
          <w:color w:val="000000"/>
          <w:sz w:val="22"/>
          <w:szCs w:val="22"/>
          <w:lang w:val="pt-BR"/>
        </w:rPr>
        <w:t> :</w:t>
      </w:r>
      <w:proofErr w:type="gramEnd"/>
      <w:r w:rsidRPr="00801775">
        <w:rPr>
          <w:i/>
          <w:iCs/>
          <w:color w:val="000000"/>
          <w:sz w:val="22"/>
          <w:szCs w:val="22"/>
          <w:lang w:val="pt-BR"/>
        </w:rPr>
        <w:t xml:space="preserve"> Arquivos &amp; Bibliotecas</w:t>
      </w:r>
      <w:r w:rsidRPr="00801775">
        <w:rPr>
          <w:color w:val="000000"/>
          <w:sz w:val="22"/>
          <w:szCs w:val="22"/>
          <w:lang w:val="pt-BR"/>
        </w:rPr>
        <w:t xml:space="preserve">, </w:t>
      </w:r>
      <w:r w:rsidRPr="00801775">
        <w:rPr>
          <w:i/>
          <w:iCs/>
          <w:color w:val="000000"/>
          <w:sz w:val="22"/>
          <w:szCs w:val="22"/>
          <w:lang w:val="pt-BR"/>
        </w:rPr>
        <w:t>esp.</w:t>
      </w:r>
      <w:r w:rsidRPr="00801775">
        <w:rPr>
          <w:color w:val="000000"/>
          <w:sz w:val="22"/>
          <w:szCs w:val="22"/>
          <w:lang w:val="pt-BR"/>
        </w:rPr>
        <w:t>, 26–32. https://doi.org/10.21747/21836671/pagnespc3</w:t>
      </w:r>
    </w:p>
    <w:p w14:paraId="107C3449" w14:textId="5B9AAE70" w:rsidR="00B4588D" w:rsidRPr="00B4588D" w:rsidRDefault="00B4588D" w:rsidP="00B4588D">
      <w:pPr>
        <w:pStyle w:val="Bibliography"/>
        <w:rPr>
          <w:color w:val="000000"/>
          <w:sz w:val="22"/>
          <w:szCs w:val="22"/>
          <w:lang w:val="pt-BR"/>
        </w:rPr>
      </w:pPr>
      <w:r w:rsidRPr="00B4588D">
        <w:rPr>
          <w:sz w:val="22"/>
          <w:szCs w:val="22"/>
          <w:lang w:val="pt-BR"/>
        </w:rPr>
        <w:lastRenderedPageBreak/>
        <w:t xml:space="preserve">Drucker, D. P., </w:t>
      </w:r>
      <w:proofErr w:type="spellStart"/>
      <w:r w:rsidRPr="00B4588D">
        <w:rPr>
          <w:sz w:val="22"/>
          <w:szCs w:val="22"/>
          <w:lang w:val="pt-BR"/>
        </w:rPr>
        <w:t>Ciuffo</w:t>
      </w:r>
      <w:proofErr w:type="spellEnd"/>
      <w:r w:rsidRPr="00B4588D">
        <w:rPr>
          <w:sz w:val="22"/>
          <w:szCs w:val="22"/>
          <w:lang w:val="pt-BR"/>
        </w:rPr>
        <w:t xml:space="preserve">, L., Sayão, L. F., </w:t>
      </w:r>
      <w:proofErr w:type="spellStart"/>
      <w:r w:rsidRPr="00B4588D">
        <w:rPr>
          <w:sz w:val="22"/>
          <w:szCs w:val="22"/>
          <w:lang w:val="pt-BR"/>
        </w:rPr>
        <w:t>Shintaku</w:t>
      </w:r>
      <w:proofErr w:type="spellEnd"/>
      <w:r w:rsidRPr="00B4588D">
        <w:rPr>
          <w:sz w:val="22"/>
          <w:szCs w:val="22"/>
          <w:lang w:val="pt-BR"/>
        </w:rPr>
        <w:t>, M., &amp; Vidotti, S. A. B. G. (</w:t>
      </w:r>
      <w:proofErr w:type="spellStart"/>
      <w:r w:rsidRPr="00B4588D">
        <w:rPr>
          <w:sz w:val="22"/>
          <w:szCs w:val="22"/>
          <w:lang w:val="pt-BR"/>
        </w:rPr>
        <w:t>Orgs</w:t>
      </w:r>
      <w:proofErr w:type="spellEnd"/>
      <w:r w:rsidRPr="00B4588D">
        <w:rPr>
          <w:sz w:val="22"/>
          <w:szCs w:val="22"/>
          <w:lang w:val="pt-BR"/>
        </w:rPr>
        <w:t xml:space="preserve">.). (2025). Infraestruturas de suporte à ciência aberta. Brasília, DF: Editora </w:t>
      </w:r>
      <w:proofErr w:type="spellStart"/>
      <w:r w:rsidRPr="00B4588D">
        <w:rPr>
          <w:sz w:val="22"/>
          <w:szCs w:val="22"/>
          <w:lang w:val="pt-BR"/>
        </w:rPr>
        <w:t>Ibict</w:t>
      </w:r>
      <w:proofErr w:type="spellEnd"/>
      <w:r w:rsidRPr="00B4588D">
        <w:rPr>
          <w:sz w:val="22"/>
          <w:szCs w:val="22"/>
          <w:lang w:val="pt-BR"/>
        </w:rPr>
        <w:t>. https://doi.org/10.22477/9786589167754</w:t>
      </w:r>
    </w:p>
    <w:p w14:paraId="10801780" w14:textId="77777777" w:rsidR="00801775" w:rsidRPr="00896B1C" w:rsidRDefault="00A26375" w:rsidP="00801775">
      <w:pPr>
        <w:pStyle w:val="Bibliography"/>
        <w:rPr>
          <w:color w:val="000000"/>
          <w:sz w:val="22"/>
          <w:szCs w:val="22"/>
        </w:rPr>
      </w:pPr>
      <w:r w:rsidRPr="00B4588D">
        <w:rPr>
          <w:color w:val="000000"/>
          <w:sz w:val="22"/>
          <w:szCs w:val="22"/>
          <w:lang w:val="pt-BR"/>
        </w:rPr>
        <w:t xml:space="preserve">D’Onofrio, G., </w:t>
      </w:r>
      <w:proofErr w:type="spellStart"/>
      <w:r w:rsidRPr="00B4588D">
        <w:rPr>
          <w:color w:val="000000"/>
          <w:sz w:val="22"/>
          <w:szCs w:val="22"/>
          <w:lang w:val="pt-BR"/>
        </w:rPr>
        <w:t>Arza</w:t>
      </w:r>
      <w:proofErr w:type="spellEnd"/>
      <w:r w:rsidRPr="00B4588D">
        <w:rPr>
          <w:color w:val="000000"/>
          <w:sz w:val="22"/>
          <w:szCs w:val="22"/>
          <w:lang w:val="pt-BR"/>
        </w:rPr>
        <w:t xml:space="preserve">, V., &amp; </w:t>
      </w:r>
      <w:proofErr w:type="spellStart"/>
      <w:r w:rsidRPr="00B4588D">
        <w:rPr>
          <w:color w:val="000000"/>
          <w:sz w:val="22"/>
          <w:szCs w:val="22"/>
          <w:lang w:val="pt-BR"/>
        </w:rPr>
        <w:t>Actis</w:t>
      </w:r>
      <w:proofErr w:type="spellEnd"/>
      <w:r w:rsidRPr="00B4588D">
        <w:rPr>
          <w:color w:val="000000"/>
          <w:sz w:val="22"/>
          <w:szCs w:val="22"/>
          <w:lang w:val="pt-BR"/>
        </w:rPr>
        <w:t xml:space="preserve">, G. (2024). </w:t>
      </w:r>
      <w:proofErr w:type="spellStart"/>
      <w:r w:rsidRPr="00B4588D">
        <w:rPr>
          <w:color w:val="000000"/>
          <w:sz w:val="22"/>
          <w:szCs w:val="22"/>
          <w:lang w:val="pt-BR"/>
        </w:rPr>
        <w:t>Ciencia</w:t>
      </w:r>
      <w:proofErr w:type="spellEnd"/>
      <w:r w:rsidRPr="00B4588D">
        <w:rPr>
          <w:color w:val="000000"/>
          <w:sz w:val="22"/>
          <w:szCs w:val="22"/>
          <w:lang w:val="pt-BR"/>
        </w:rPr>
        <w:t xml:space="preserve"> </w:t>
      </w:r>
      <w:proofErr w:type="spellStart"/>
      <w:r w:rsidRPr="00B4588D">
        <w:rPr>
          <w:color w:val="000000"/>
          <w:sz w:val="22"/>
          <w:szCs w:val="22"/>
          <w:lang w:val="pt-BR"/>
        </w:rPr>
        <w:t>ciudadana</w:t>
      </w:r>
      <w:proofErr w:type="spellEnd"/>
      <w:r w:rsidRPr="00B4588D">
        <w:rPr>
          <w:color w:val="000000"/>
          <w:sz w:val="22"/>
          <w:szCs w:val="22"/>
          <w:lang w:val="pt-BR"/>
        </w:rPr>
        <w:t xml:space="preserve"> </w:t>
      </w:r>
      <w:proofErr w:type="spellStart"/>
      <w:r w:rsidRPr="00B4588D">
        <w:rPr>
          <w:color w:val="000000"/>
          <w:sz w:val="22"/>
          <w:szCs w:val="22"/>
          <w:lang w:val="pt-BR"/>
        </w:rPr>
        <w:t>en</w:t>
      </w:r>
      <w:proofErr w:type="spellEnd"/>
      <w:r w:rsidRPr="00B4588D">
        <w:rPr>
          <w:color w:val="000000"/>
          <w:sz w:val="22"/>
          <w:szCs w:val="22"/>
          <w:lang w:val="pt-BR"/>
        </w:rPr>
        <w:t xml:space="preserve"> América Latina: Perspectivas y</w:t>
      </w:r>
      <w:r w:rsidRPr="00801775">
        <w:rPr>
          <w:color w:val="000000"/>
          <w:sz w:val="22"/>
          <w:szCs w:val="22"/>
          <w:lang w:val="pt-BR"/>
        </w:rPr>
        <w:t xml:space="preserve"> políticas públicas. </w:t>
      </w:r>
      <w:proofErr w:type="spellStart"/>
      <w:r w:rsidRPr="00896B1C">
        <w:rPr>
          <w:i/>
          <w:iCs/>
          <w:color w:val="000000"/>
          <w:sz w:val="22"/>
          <w:szCs w:val="22"/>
        </w:rPr>
        <w:t>Perfiles</w:t>
      </w:r>
      <w:proofErr w:type="spellEnd"/>
      <w:r w:rsidRPr="00896B1C">
        <w:rPr>
          <w:i/>
          <w:iCs/>
          <w:color w:val="000000"/>
          <w:sz w:val="22"/>
          <w:szCs w:val="22"/>
        </w:rPr>
        <w:t xml:space="preserve"> </w:t>
      </w:r>
      <w:proofErr w:type="spellStart"/>
      <w:r w:rsidRPr="00896B1C">
        <w:rPr>
          <w:i/>
          <w:iCs/>
          <w:color w:val="000000"/>
          <w:sz w:val="22"/>
          <w:szCs w:val="22"/>
        </w:rPr>
        <w:t>Educativos</w:t>
      </w:r>
      <w:proofErr w:type="spellEnd"/>
      <w:r w:rsidRPr="00896B1C">
        <w:rPr>
          <w:color w:val="000000"/>
          <w:sz w:val="22"/>
          <w:szCs w:val="22"/>
        </w:rPr>
        <w:t xml:space="preserve">, </w:t>
      </w:r>
      <w:r w:rsidRPr="00896B1C">
        <w:rPr>
          <w:i/>
          <w:iCs/>
          <w:color w:val="000000"/>
          <w:sz w:val="22"/>
          <w:szCs w:val="22"/>
        </w:rPr>
        <w:t>46</w:t>
      </w:r>
      <w:r w:rsidRPr="00896B1C">
        <w:rPr>
          <w:color w:val="000000"/>
          <w:sz w:val="22"/>
          <w:szCs w:val="22"/>
        </w:rPr>
        <w:t>(184), 194–204. https://doi.org/10.22201/iisue.24486167e.2024.184.61781</w:t>
      </w:r>
    </w:p>
    <w:p w14:paraId="201E0357" w14:textId="77777777" w:rsidR="00801775" w:rsidRPr="00801775" w:rsidRDefault="00A26375" w:rsidP="00801775">
      <w:pPr>
        <w:pStyle w:val="Bibliography"/>
        <w:rPr>
          <w:sz w:val="22"/>
        </w:rPr>
      </w:pPr>
      <w:proofErr w:type="spellStart"/>
      <w:r w:rsidRPr="00801775">
        <w:rPr>
          <w:sz w:val="22"/>
        </w:rPr>
        <w:t>Fraisl</w:t>
      </w:r>
      <w:proofErr w:type="spellEnd"/>
      <w:r w:rsidRPr="00801775">
        <w:rPr>
          <w:sz w:val="22"/>
        </w:rPr>
        <w:t xml:space="preserve">, D., </w:t>
      </w:r>
      <w:proofErr w:type="spellStart"/>
      <w:r w:rsidRPr="00801775">
        <w:rPr>
          <w:sz w:val="22"/>
        </w:rPr>
        <w:t>Haklay</w:t>
      </w:r>
      <w:proofErr w:type="spellEnd"/>
      <w:r w:rsidRPr="00801775">
        <w:rPr>
          <w:sz w:val="22"/>
        </w:rPr>
        <w:t xml:space="preserve">, M., Hager, G., Wehn, U., See, L., Hecker, S., </w:t>
      </w:r>
      <w:proofErr w:type="spellStart"/>
      <w:r w:rsidRPr="00801775">
        <w:rPr>
          <w:sz w:val="22"/>
        </w:rPr>
        <w:t>Tzovaras</w:t>
      </w:r>
      <w:proofErr w:type="spellEnd"/>
      <w:r w:rsidRPr="00801775">
        <w:rPr>
          <w:sz w:val="22"/>
        </w:rPr>
        <w:t xml:space="preserve">, B. G., Gold, M., </w:t>
      </w:r>
      <w:proofErr w:type="spellStart"/>
      <w:r w:rsidRPr="00801775">
        <w:rPr>
          <w:sz w:val="22"/>
        </w:rPr>
        <w:t>Ceccaroni</w:t>
      </w:r>
      <w:proofErr w:type="spellEnd"/>
      <w:r w:rsidRPr="00801775">
        <w:rPr>
          <w:sz w:val="22"/>
        </w:rPr>
        <w:t xml:space="preserve">, L., Kieslinger, B., Woods, S., Nold, C., Balázs, B., </w:t>
      </w:r>
      <w:proofErr w:type="spellStart"/>
      <w:r w:rsidRPr="00801775">
        <w:rPr>
          <w:sz w:val="22"/>
        </w:rPr>
        <w:t>Mazzonetto</w:t>
      </w:r>
      <w:proofErr w:type="spellEnd"/>
      <w:r w:rsidRPr="00801775">
        <w:rPr>
          <w:sz w:val="22"/>
        </w:rPr>
        <w:t xml:space="preserve">, M., </w:t>
      </w:r>
      <w:proofErr w:type="spellStart"/>
      <w:r w:rsidRPr="00801775">
        <w:rPr>
          <w:sz w:val="22"/>
        </w:rPr>
        <w:t>Ruefenacht</w:t>
      </w:r>
      <w:proofErr w:type="spellEnd"/>
      <w:r w:rsidRPr="00801775">
        <w:rPr>
          <w:sz w:val="22"/>
        </w:rPr>
        <w:t xml:space="preserve">, S., Shanley, L. A., Motion, A., </w:t>
      </w:r>
      <w:proofErr w:type="spellStart"/>
      <w:r w:rsidRPr="00801775">
        <w:rPr>
          <w:sz w:val="22"/>
        </w:rPr>
        <w:t>Sforzi</w:t>
      </w:r>
      <w:proofErr w:type="spellEnd"/>
      <w:r w:rsidRPr="00801775">
        <w:rPr>
          <w:sz w:val="22"/>
        </w:rPr>
        <w:t xml:space="preserve">, A., Dörler, D., … </w:t>
      </w:r>
      <w:proofErr w:type="spellStart"/>
      <w:r w:rsidRPr="00801775">
        <w:rPr>
          <w:sz w:val="22"/>
        </w:rPr>
        <w:t>Mačiulienė</w:t>
      </w:r>
      <w:proofErr w:type="spellEnd"/>
      <w:r w:rsidRPr="00801775">
        <w:rPr>
          <w:sz w:val="22"/>
        </w:rPr>
        <w:t xml:space="preserve">, M. (2025). Delineating the contours of citizen science: Development of the ECSA characteristics of citizen science. </w:t>
      </w:r>
      <w:r w:rsidRPr="00801775">
        <w:rPr>
          <w:i/>
          <w:iCs/>
          <w:sz w:val="22"/>
        </w:rPr>
        <w:t>Open Research Europe</w:t>
      </w:r>
      <w:r w:rsidRPr="00801775">
        <w:rPr>
          <w:sz w:val="22"/>
        </w:rPr>
        <w:t xml:space="preserve">, </w:t>
      </w:r>
      <w:r w:rsidRPr="00801775">
        <w:rPr>
          <w:i/>
          <w:iCs/>
          <w:sz w:val="22"/>
        </w:rPr>
        <w:t>5</w:t>
      </w:r>
      <w:r w:rsidRPr="00801775">
        <w:rPr>
          <w:sz w:val="22"/>
        </w:rPr>
        <w:t>, 128. https://doi.org/10.12688/openreseurope.19411.1</w:t>
      </w:r>
    </w:p>
    <w:p w14:paraId="37D64E23" w14:textId="77777777" w:rsidR="00801775" w:rsidRPr="00801775" w:rsidRDefault="00A26375" w:rsidP="00801775">
      <w:pPr>
        <w:pStyle w:val="Bibliography"/>
        <w:rPr>
          <w:color w:val="000000"/>
          <w:sz w:val="22"/>
          <w:szCs w:val="22"/>
        </w:rPr>
      </w:pPr>
      <w:proofErr w:type="spellStart"/>
      <w:r w:rsidRPr="00801775">
        <w:rPr>
          <w:color w:val="000000"/>
          <w:sz w:val="22"/>
          <w:szCs w:val="22"/>
        </w:rPr>
        <w:t>Haklay</w:t>
      </w:r>
      <w:proofErr w:type="spellEnd"/>
      <w:r w:rsidRPr="00801775">
        <w:rPr>
          <w:color w:val="000000"/>
          <w:sz w:val="22"/>
          <w:szCs w:val="22"/>
        </w:rPr>
        <w:t xml:space="preserve">, M. (2013). Citizen Science and Volunteered Geographic Information: Overview and Typology of Participation. Em D. Sui, S. Elwood, &amp; M. Goodchild (Org.), </w:t>
      </w:r>
      <w:r w:rsidRPr="00801775">
        <w:rPr>
          <w:i/>
          <w:iCs/>
          <w:color w:val="000000"/>
          <w:sz w:val="22"/>
          <w:szCs w:val="22"/>
        </w:rPr>
        <w:t>Crowdsourcing Geographic Knowledge</w:t>
      </w:r>
      <w:r w:rsidRPr="00801775">
        <w:rPr>
          <w:color w:val="000000"/>
          <w:sz w:val="22"/>
          <w:szCs w:val="22"/>
        </w:rPr>
        <w:t xml:space="preserve"> (p. 105–122). Springer Netherlands. https://doi.org/10.1007/978-94-007-4587-2_7</w:t>
      </w:r>
    </w:p>
    <w:p w14:paraId="60FAC55E" w14:textId="77777777" w:rsidR="00801775" w:rsidRPr="00896B1C" w:rsidRDefault="00A26375" w:rsidP="00801775">
      <w:pPr>
        <w:pStyle w:val="Bibliography"/>
        <w:rPr>
          <w:color w:val="000000"/>
          <w:sz w:val="22"/>
          <w:szCs w:val="22"/>
        </w:rPr>
      </w:pPr>
      <w:r w:rsidRPr="00801775">
        <w:rPr>
          <w:color w:val="000000"/>
          <w:sz w:val="22"/>
          <w:szCs w:val="22"/>
        </w:rPr>
        <w:t xml:space="preserve">Jennett, C., Kloetzer, L., Schneider, D., </w:t>
      </w:r>
      <w:proofErr w:type="spellStart"/>
      <w:r w:rsidRPr="00801775">
        <w:rPr>
          <w:color w:val="000000"/>
          <w:sz w:val="22"/>
          <w:szCs w:val="22"/>
        </w:rPr>
        <w:t>Iacovides</w:t>
      </w:r>
      <w:proofErr w:type="spellEnd"/>
      <w:r w:rsidRPr="00801775">
        <w:rPr>
          <w:color w:val="000000"/>
          <w:sz w:val="22"/>
          <w:szCs w:val="22"/>
        </w:rPr>
        <w:t xml:space="preserve">, I., Cox, A., Gold, M., Fuchs, B., Eveleigh, A., Mathieu, K., Ajani, Z., &amp; Talsi, Y. (2016). Motivations, learning and creativity in online citizen science. </w:t>
      </w:r>
      <w:r w:rsidRPr="00801775">
        <w:rPr>
          <w:i/>
          <w:iCs/>
          <w:color w:val="000000"/>
          <w:sz w:val="22"/>
          <w:szCs w:val="22"/>
        </w:rPr>
        <w:t>Journal of Science Communication</w:t>
      </w:r>
      <w:r w:rsidRPr="00801775">
        <w:rPr>
          <w:color w:val="000000"/>
          <w:sz w:val="22"/>
          <w:szCs w:val="22"/>
        </w:rPr>
        <w:t xml:space="preserve">, </w:t>
      </w:r>
      <w:r w:rsidRPr="00801775">
        <w:rPr>
          <w:i/>
          <w:iCs/>
          <w:color w:val="000000"/>
          <w:sz w:val="22"/>
          <w:szCs w:val="22"/>
        </w:rPr>
        <w:t>15</w:t>
      </w:r>
      <w:r w:rsidRPr="00801775">
        <w:rPr>
          <w:color w:val="000000"/>
          <w:sz w:val="22"/>
          <w:szCs w:val="22"/>
        </w:rPr>
        <w:t>(03), A05. https://doi.org/10.22323/2.15030205</w:t>
      </w:r>
    </w:p>
    <w:p w14:paraId="60A30BAE" w14:textId="77777777" w:rsidR="00801775" w:rsidRPr="00801775" w:rsidRDefault="00A26375" w:rsidP="00801775">
      <w:pPr>
        <w:pStyle w:val="Bibliography"/>
        <w:rPr>
          <w:color w:val="000000"/>
          <w:sz w:val="22"/>
          <w:szCs w:val="22"/>
        </w:rPr>
      </w:pPr>
      <w:r w:rsidRPr="00896B1C">
        <w:rPr>
          <w:color w:val="000000"/>
          <w:sz w:val="22"/>
          <w:szCs w:val="22"/>
        </w:rPr>
        <w:t xml:space="preserve">Laut, J., Cappa, F., Nov, O., &amp; </w:t>
      </w:r>
      <w:proofErr w:type="spellStart"/>
      <w:r w:rsidRPr="00896B1C">
        <w:rPr>
          <w:color w:val="000000"/>
          <w:sz w:val="22"/>
          <w:szCs w:val="22"/>
        </w:rPr>
        <w:t>Porfiri</w:t>
      </w:r>
      <w:proofErr w:type="spellEnd"/>
      <w:r w:rsidRPr="00896B1C">
        <w:rPr>
          <w:color w:val="000000"/>
          <w:sz w:val="22"/>
          <w:szCs w:val="22"/>
        </w:rPr>
        <w:t xml:space="preserve">, M. (2017). </w:t>
      </w:r>
      <w:r w:rsidRPr="00801775">
        <w:rPr>
          <w:color w:val="000000"/>
          <w:sz w:val="22"/>
          <w:szCs w:val="22"/>
        </w:rPr>
        <w:t xml:space="preserve">Increasing citizen science contribution using a virtual peer. </w:t>
      </w:r>
      <w:r w:rsidRPr="00801775">
        <w:rPr>
          <w:i/>
          <w:iCs/>
          <w:color w:val="000000"/>
          <w:sz w:val="22"/>
          <w:szCs w:val="22"/>
        </w:rPr>
        <w:t>Journal of the Association for Information Science and Technology</w:t>
      </w:r>
      <w:r w:rsidRPr="00801775">
        <w:rPr>
          <w:color w:val="000000"/>
          <w:sz w:val="22"/>
          <w:szCs w:val="22"/>
        </w:rPr>
        <w:t xml:space="preserve">, </w:t>
      </w:r>
      <w:r w:rsidRPr="00801775">
        <w:rPr>
          <w:i/>
          <w:iCs/>
          <w:color w:val="000000"/>
          <w:sz w:val="22"/>
          <w:szCs w:val="22"/>
        </w:rPr>
        <w:t>68</w:t>
      </w:r>
      <w:r w:rsidRPr="00801775">
        <w:rPr>
          <w:color w:val="000000"/>
          <w:sz w:val="22"/>
          <w:szCs w:val="22"/>
        </w:rPr>
        <w:t>(3), 583–593. https://doi.org/10.1002/asi.23685</w:t>
      </w:r>
    </w:p>
    <w:p w14:paraId="60A5A2E1" w14:textId="6A83E2DC" w:rsidR="00A26375" w:rsidRPr="00801775" w:rsidRDefault="00A26375" w:rsidP="00801775">
      <w:pPr>
        <w:pStyle w:val="Bibliography"/>
        <w:rPr>
          <w:sz w:val="22"/>
        </w:rPr>
      </w:pPr>
      <w:r w:rsidRPr="00801775">
        <w:rPr>
          <w:color w:val="000000"/>
          <w:sz w:val="22"/>
          <w:szCs w:val="22"/>
          <w:lang w:val="pt-BR"/>
        </w:rPr>
        <w:t xml:space="preserve">Marques, D., Silva, J., &amp; Machado, R. (2024). </w:t>
      </w:r>
      <w:r w:rsidRPr="00801775">
        <w:rPr>
          <w:color w:val="000000"/>
          <w:sz w:val="22"/>
          <w:szCs w:val="22"/>
        </w:rPr>
        <w:t xml:space="preserve">Citizen Science: Exploring the underlying dimensions of citizen engagement and value co-creation through the lens of marketing. </w:t>
      </w:r>
      <w:r w:rsidRPr="00801775">
        <w:rPr>
          <w:i/>
          <w:iCs/>
          <w:color w:val="000000"/>
          <w:sz w:val="22"/>
          <w:szCs w:val="22"/>
        </w:rPr>
        <w:t>Biological Conservation</w:t>
      </w:r>
      <w:r w:rsidRPr="00801775">
        <w:rPr>
          <w:color w:val="000000"/>
          <w:sz w:val="22"/>
          <w:szCs w:val="22"/>
        </w:rPr>
        <w:t xml:space="preserve">, </w:t>
      </w:r>
      <w:r w:rsidRPr="00801775">
        <w:rPr>
          <w:i/>
          <w:iCs/>
          <w:color w:val="000000"/>
          <w:sz w:val="22"/>
          <w:szCs w:val="22"/>
        </w:rPr>
        <w:t>296</w:t>
      </w:r>
      <w:r w:rsidRPr="00801775">
        <w:rPr>
          <w:color w:val="000000"/>
          <w:sz w:val="22"/>
          <w:szCs w:val="22"/>
        </w:rPr>
        <w:t>, 110711. https://doi.org/10.1016/j.biocon.2024.110711</w:t>
      </w:r>
    </w:p>
    <w:p w14:paraId="4D666E46" w14:textId="77777777" w:rsidR="00A26375" w:rsidRPr="00896B1C" w:rsidRDefault="00A26375" w:rsidP="00A26375">
      <w:pPr>
        <w:pStyle w:val="NormalWeb"/>
        <w:spacing w:before="0" w:beforeAutospacing="0" w:after="0" w:afterAutospacing="0" w:line="480" w:lineRule="auto"/>
        <w:ind w:left="720"/>
        <w:rPr>
          <w:color w:val="000000"/>
        </w:rPr>
      </w:pPr>
      <w:r w:rsidRPr="00801775">
        <w:rPr>
          <w:color w:val="000000"/>
          <w:sz w:val="22"/>
          <w:szCs w:val="22"/>
        </w:rPr>
        <w:t xml:space="preserve">Moresi, E. A. D., &amp; Barbosa, J. A. (2017). </w:t>
      </w:r>
      <w:r w:rsidRPr="00801775">
        <w:rPr>
          <w:i/>
          <w:iCs/>
          <w:color w:val="000000"/>
          <w:sz w:val="22"/>
          <w:szCs w:val="22"/>
          <w:lang w:val="pt-BR"/>
        </w:rPr>
        <w:t xml:space="preserve">O emprego do aplicativo </w:t>
      </w:r>
      <w:proofErr w:type="spellStart"/>
      <w:r w:rsidRPr="00801775">
        <w:rPr>
          <w:i/>
          <w:iCs/>
          <w:color w:val="000000"/>
          <w:sz w:val="22"/>
          <w:szCs w:val="22"/>
          <w:lang w:val="pt-BR"/>
        </w:rPr>
        <w:t>SciHub</w:t>
      </w:r>
      <w:proofErr w:type="spellEnd"/>
      <w:r w:rsidRPr="00801775">
        <w:rPr>
          <w:i/>
          <w:iCs/>
          <w:color w:val="000000"/>
          <w:sz w:val="22"/>
          <w:szCs w:val="22"/>
          <w:lang w:val="pt-BR"/>
        </w:rPr>
        <w:t xml:space="preserve"> em projetos de ciência cidadã</w:t>
      </w:r>
      <w:r w:rsidRPr="00801775">
        <w:rPr>
          <w:color w:val="000000"/>
          <w:sz w:val="22"/>
          <w:szCs w:val="22"/>
          <w:lang w:val="pt-BR"/>
        </w:rPr>
        <w:t xml:space="preserve">. </w:t>
      </w:r>
      <w:r w:rsidRPr="00896B1C">
        <w:rPr>
          <w:i/>
          <w:iCs/>
          <w:color w:val="000000"/>
          <w:sz w:val="22"/>
          <w:szCs w:val="22"/>
        </w:rPr>
        <w:t>14</w:t>
      </w:r>
      <w:r w:rsidRPr="00896B1C">
        <w:rPr>
          <w:color w:val="000000"/>
          <w:sz w:val="22"/>
          <w:szCs w:val="22"/>
        </w:rPr>
        <w:t>(2), 45–52.</w:t>
      </w:r>
    </w:p>
    <w:p w14:paraId="3ED9F4BE" w14:textId="77777777" w:rsidR="00A26375" w:rsidRPr="00801775" w:rsidRDefault="00A26375" w:rsidP="00A26375">
      <w:pPr>
        <w:pStyle w:val="Bibliography"/>
        <w:rPr>
          <w:color w:val="000000"/>
          <w:sz w:val="22"/>
          <w:szCs w:val="22"/>
          <w:lang w:val="pt-BR"/>
        </w:rPr>
      </w:pPr>
      <w:r w:rsidRPr="00801775">
        <w:rPr>
          <w:color w:val="000000"/>
          <w:sz w:val="22"/>
          <w:szCs w:val="22"/>
        </w:rPr>
        <w:lastRenderedPageBreak/>
        <w:t xml:space="preserve">Phillips, T. B., Ballard, H. L., Lewenstein, B. V., &amp; Bonney, R. (2019). Engagement in science through citizen science: Moving beyond data collection. </w:t>
      </w:r>
      <w:r w:rsidRPr="00801775">
        <w:rPr>
          <w:i/>
          <w:iCs/>
          <w:color w:val="000000"/>
          <w:sz w:val="22"/>
          <w:szCs w:val="22"/>
          <w:lang w:val="pt-BR"/>
        </w:rPr>
        <w:t xml:space="preserve">Science </w:t>
      </w:r>
      <w:proofErr w:type="spellStart"/>
      <w:r w:rsidRPr="00801775">
        <w:rPr>
          <w:i/>
          <w:iCs/>
          <w:color w:val="000000"/>
          <w:sz w:val="22"/>
          <w:szCs w:val="22"/>
          <w:lang w:val="pt-BR"/>
        </w:rPr>
        <w:t>Education</w:t>
      </w:r>
      <w:proofErr w:type="spellEnd"/>
      <w:r w:rsidRPr="00801775">
        <w:rPr>
          <w:color w:val="000000"/>
          <w:sz w:val="22"/>
          <w:szCs w:val="22"/>
          <w:lang w:val="pt-BR"/>
        </w:rPr>
        <w:t xml:space="preserve">, </w:t>
      </w:r>
      <w:r w:rsidRPr="00801775">
        <w:rPr>
          <w:i/>
          <w:iCs/>
          <w:color w:val="000000"/>
          <w:sz w:val="22"/>
          <w:szCs w:val="22"/>
          <w:lang w:val="pt-BR"/>
        </w:rPr>
        <w:t>103</w:t>
      </w:r>
      <w:r w:rsidRPr="00801775">
        <w:rPr>
          <w:color w:val="000000"/>
          <w:sz w:val="22"/>
          <w:szCs w:val="22"/>
          <w:lang w:val="pt-BR"/>
        </w:rPr>
        <w:t>(3), 665–690. https://doi.org/10.1002/sce.21501</w:t>
      </w:r>
    </w:p>
    <w:p w14:paraId="21678846" w14:textId="77777777" w:rsidR="00801775" w:rsidRPr="00801775" w:rsidRDefault="00801775" w:rsidP="00801775">
      <w:pPr>
        <w:pStyle w:val="Bibliography"/>
        <w:rPr>
          <w:sz w:val="22"/>
        </w:rPr>
      </w:pPr>
      <w:r w:rsidRPr="00801775">
        <w:rPr>
          <w:sz w:val="22"/>
          <w:lang w:val="pt-BR"/>
        </w:rPr>
        <w:t xml:space="preserve">Queiroz-Souza, C., Viana, B., Ghilardi-Lopes, N., </w:t>
      </w:r>
      <w:proofErr w:type="spellStart"/>
      <w:r w:rsidRPr="00801775">
        <w:rPr>
          <w:sz w:val="22"/>
          <w:lang w:val="pt-BR"/>
        </w:rPr>
        <w:t>Kawabe</w:t>
      </w:r>
      <w:proofErr w:type="spellEnd"/>
      <w:r w:rsidRPr="00801775">
        <w:rPr>
          <w:sz w:val="22"/>
          <w:lang w:val="pt-BR"/>
        </w:rPr>
        <w:t xml:space="preserve">, L., Alexandrino, E., França, J., </w:t>
      </w:r>
      <w:proofErr w:type="spellStart"/>
      <w:r w:rsidRPr="00801775">
        <w:rPr>
          <w:sz w:val="22"/>
          <w:lang w:val="pt-BR"/>
        </w:rPr>
        <w:t>Koffler</w:t>
      </w:r>
      <w:proofErr w:type="spellEnd"/>
      <w:r w:rsidRPr="00801775">
        <w:rPr>
          <w:sz w:val="22"/>
          <w:lang w:val="pt-BR"/>
        </w:rPr>
        <w:t xml:space="preserve">, S., Saraiva, A. M., &amp; </w:t>
      </w:r>
      <w:proofErr w:type="spellStart"/>
      <w:r w:rsidRPr="00801775">
        <w:rPr>
          <w:sz w:val="22"/>
          <w:lang w:val="pt-BR"/>
        </w:rPr>
        <w:t>Loula</w:t>
      </w:r>
      <w:proofErr w:type="spellEnd"/>
      <w:r w:rsidRPr="00801775">
        <w:rPr>
          <w:sz w:val="22"/>
          <w:lang w:val="pt-BR"/>
        </w:rPr>
        <w:t xml:space="preserve">, A. (2023). </w:t>
      </w:r>
      <w:r w:rsidRPr="00801775">
        <w:rPr>
          <w:sz w:val="22"/>
        </w:rPr>
        <w:t xml:space="preserve">Opportunities and Barriers for Citizen Science Growth in Brazil: Reflections from the First Workshop of the Brazilian Citizen Science Network. </w:t>
      </w:r>
      <w:r w:rsidRPr="00801775">
        <w:rPr>
          <w:i/>
          <w:iCs/>
          <w:sz w:val="22"/>
        </w:rPr>
        <w:t>Citizen Science: Theory and Practice</w:t>
      </w:r>
      <w:r w:rsidRPr="00801775">
        <w:rPr>
          <w:sz w:val="22"/>
        </w:rPr>
        <w:t xml:space="preserve">, </w:t>
      </w:r>
      <w:r w:rsidRPr="00801775">
        <w:rPr>
          <w:i/>
          <w:iCs/>
          <w:sz w:val="22"/>
        </w:rPr>
        <w:t>8</w:t>
      </w:r>
      <w:r w:rsidRPr="00801775">
        <w:rPr>
          <w:sz w:val="22"/>
        </w:rPr>
        <w:t>(1), 13. https://doi.org/10.5334/cstp.521</w:t>
      </w:r>
    </w:p>
    <w:p w14:paraId="264732A7" w14:textId="4B19FBB4" w:rsidR="00A26375" w:rsidRPr="00801775" w:rsidRDefault="00A26375" w:rsidP="00A26375">
      <w:pPr>
        <w:pStyle w:val="Bibliography"/>
        <w:rPr>
          <w:sz w:val="22"/>
        </w:rPr>
      </w:pPr>
      <w:r w:rsidRPr="00801775">
        <w:rPr>
          <w:color w:val="000000"/>
          <w:sz w:val="22"/>
          <w:szCs w:val="22"/>
        </w:rPr>
        <w:t xml:space="preserve">Witt, A. S., &amp; da Silva, F. C. C. (2022). </w:t>
      </w:r>
      <w:r w:rsidRPr="00801775">
        <w:rPr>
          <w:i/>
          <w:iCs/>
          <w:color w:val="000000"/>
          <w:sz w:val="22"/>
          <w:szCs w:val="22"/>
        </w:rPr>
        <w:t>Overview of Citizen Science Projects Contemplated in the Civis Platform</w:t>
      </w:r>
      <w:r w:rsidRPr="00801775">
        <w:rPr>
          <w:color w:val="000000"/>
          <w:sz w:val="22"/>
          <w:szCs w:val="22"/>
        </w:rPr>
        <w:t xml:space="preserve">. </w:t>
      </w:r>
      <w:r w:rsidRPr="00801775">
        <w:rPr>
          <w:i/>
          <w:iCs/>
          <w:color w:val="000000"/>
          <w:sz w:val="22"/>
          <w:szCs w:val="22"/>
        </w:rPr>
        <w:t>452 LNICST</w:t>
      </w:r>
      <w:r w:rsidRPr="00801775">
        <w:rPr>
          <w:color w:val="000000"/>
          <w:sz w:val="22"/>
          <w:szCs w:val="22"/>
        </w:rPr>
        <w:t>, 16–28. Scopus. https://doi.org/10.1007/978-3-031-22324-2_2</w:t>
      </w:r>
      <w:r w:rsidR="0037524D" w:rsidRPr="00801775">
        <w:rPr>
          <w:sz w:val="22"/>
          <w:szCs w:val="22"/>
          <w:lang w:val="pt-BR"/>
        </w:rPr>
        <w:fldChar w:fldCharType="begin"/>
      </w:r>
      <w:r w:rsidR="0037524D" w:rsidRPr="00801775">
        <w:rPr>
          <w:sz w:val="22"/>
          <w:szCs w:val="22"/>
        </w:rPr>
        <w:instrText xml:space="preserve"> ADDIN ZOTERO_BIBL {"uncited":[],"omitted":[],"custom":[]} CSL_BIBLIOGRAPHY </w:instrText>
      </w:r>
      <w:r w:rsidR="0037524D" w:rsidRPr="00801775">
        <w:rPr>
          <w:sz w:val="22"/>
          <w:szCs w:val="22"/>
          <w:lang w:val="pt-BR"/>
        </w:rPr>
        <w:fldChar w:fldCharType="separate"/>
      </w:r>
    </w:p>
    <w:p w14:paraId="72ADC682" w14:textId="016640C0" w:rsidR="001714BC" w:rsidRPr="00435155" w:rsidRDefault="0037524D" w:rsidP="00A26375">
      <w:pPr>
        <w:pStyle w:val="Bibliography"/>
        <w:rPr>
          <w:sz w:val="22"/>
          <w:szCs w:val="22"/>
        </w:rPr>
      </w:pPr>
      <w:r w:rsidRPr="00801775">
        <w:rPr>
          <w:sz w:val="22"/>
          <w:szCs w:val="22"/>
          <w:lang w:val="pt-BR"/>
        </w:rPr>
        <w:fldChar w:fldCharType="end"/>
      </w:r>
    </w:p>
    <w:p w14:paraId="0B5A6368" w14:textId="2DB1CF68" w:rsidR="004C1574" w:rsidRPr="00435155" w:rsidRDefault="004C1574" w:rsidP="009F5982">
      <w:pPr>
        <w:jc w:val="both"/>
        <w:rPr>
          <w:sz w:val="22"/>
          <w:szCs w:val="22"/>
        </w:rPr>
      </w:pPr>
      <w:proofErr w:type="spellStart"/>
      <w:r w:rsidRPr="00435155">
        <w:rPr>
          <w:sz w:val="22"/>
          <w:szCs w:val="22"/>
        </w:rPr>
        <w:t>Licencia</w:t>
      </w:r>
      <w:proofErr w:type="spellEnd"/>
      <w:r w:rsidRPr="00435155">
        <w:rPr>
          <w:sz w:val="22"/>
          <w:szCs w:val="22"/>
        </w:rPr>
        <w:t xml:space="preserve">: Este </w:t>
      </w:r>
      <w:proofErr w:type="spellStart"/>
      <w:r w:rsidRPr="00435155">
        <w:rPr>
          <w:sz w:val="22"/>
          <w:szCs w:val="22"/>
        </w:rPr>
        <w:t>resumen</w:t>
      </w:r>
      <w:proofErr w:type="spellEnd"/>
      <w:r w:rsidRPr="00435155">
        <w:rPr>
          <w:sz w:val="22"/>
          <w:szCs w:val="22"/>
        </w:rPr>
        <w:t xml:space="preserve"> </w:t>
      </w:r>
      <w:proofErr w:type="spellStart"/>
      <w:r w:rsidRPr="00435155">
        <w:rPr>
          <w:sz w:val="22"/>
          <w:szCs w:val="22"/>
        </w:rPr>
        <w:t>ampliado</w:t>
      </w:r>
      <w:proofErr w:type="spellEnd"/>
      <w:r w:rsidRPr="00435155">
        <w:rPr>
          <w:sz w:val="22"/>
          <w:szCs w:val="22"/>
        </w:rPr>
        <w:t xml:space="preserve"> se </w:t>
      </w:r>
      <w:proofErr w:type="spellStart"/>
      <w:r w:rsidRPr="00435155">
        <w:rPr>
          <w:sz w:val="22"/>
          <w:szCs w:val="22"/>
        </w:rPr>
        <w:t>distribuye</w:t>
      </w:r>
      <w:proofErr w:type="spellEnd"/>
      <w:r w:rsidRPr="00435155">
        <w:rPr>
          <w:sz w:val="22"/>
          <w:szCs w:val="22"/>
        </w:rPr>
        <w:t xml:space="preserve"> bajo </w:t>
      </w:r>
      <w:proofErr w:type="spellStart"/>
      <w:r w:rsidRPr="00435155">
        <w:rPr>
          <w:sz w:val="22"/>
          <w:szCs w:val="22"/>
        </w:rPr>
        <w:t>licencia</w:t>
      </w:r>
      <w:proofErr w:type="spellEnd"/>
      <w:r w:rsidRPr="00435155">
        <w:rPr>
          <w:sz w:val="22"/>
          <w:szCs w:val="22"/>
        </w:rPr>
        <w:t xml:space="preserve"> Creative Commons Attribution </w:t>
      </w:r>
      <w:proofErr w:type="gramStart"/>
      <w:r w:rsidRPr="00435155">
        <w:rPr>
          <w:sz w:val="22"/>
          <w:szCs w:val="22"/>
        </w:rPr>
        <w:t>Non Commercial</w:t>
      </w:r>
      <w:proofErr w:type="gramEnd"/>
      <w:r w:rsidRPr="00435155">
        <w:rPr>
          <w:sz w:val="22"/>
          <w:szCs w:val="22"/>
        </w:rPr>
        <w:t xml:space="preserve"> Share Alike 4.0 International (CC-BY-NC-SA 4.0).</w:t>
      </w:r>
    </w:p>
    <w:sectPr w:rsidR="004C1574" w:rsidRPr="00435155">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altName w:val="Calibri"/>
    <w:panose1 w:val="020B0004020202020204"/>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F7AD6"/>
    <w:multiLevelType w:val="hybridMultilevel"/>
    <w:tmpl w:val="70F020FC"/>
    <w:lvl w:ilvl="0" w:tplc="B1BAC810">
      <w:start w:val="1"/>
      <w:numFmt w:val="bullet"/>
      <w:lvlText w:val="•"/>
      <w:lvlJc w:val="left"/>
      <w:pPr>
        <w:tabs>
          <w:tab w:val="num" w:pos="720"/>
        </w:tabs>
        <w:ind w:left="720" w:hanging="360"/>
      </w:pPr>
      <w:rPr>
        <w:rFonts w:ascii="Arial" w:hAnsi="Arial" w:hint="default"/>
      </w:rPr>
    </w:lvl>
    <w:lvl w:ilvl="1" w:tplc="B2560948" w:tentative="1">
      <w:start w:val="1"/>
      <w:numFmt w:val="bullet"/>
      <w:lvlText w:val="•"/>
      <w:lvlJc w:val="left"/>
      <w:pPr>
        <w:tabs>
          <w:tab w:val="num" w:pos="1440"/>
        </w:tabs>
        <w:ind w:left="1440" w:hanging="360"/>
      </w:pPr>
      <w:rPr>
        <w:rFonts w:ascii="Arial" w:hAnsi="Arial" w:hint="default"/>
      </w:rPr>
    </w:lvl>
    <w:lvl w:ilvl="2" w:tplc="545A69AC" w:tentative="1">
      <w:start w:val="1"/>
      <w:numFmt w:val="bullet"/>
      <w:lvlText w:val="•"/>
      <w:lvlJc w:val="left"/>
      <w:pPr>
        <w:tabs>
          <w:tab w:val="num" w:pos="2160"/>
        </w:tabs>
        <w:ind w:left="2160" w:hanging="360"/>
      </w:pPr>
      <w:rPr>
        <w:rFonts w:ascii="Arial" w:hAnsi="Arial" w:hint="default"/>
      </w:rPr>
    </w:lvl>
    <w:lvl w:ilvl="3" w:tplc="6C08CBDE" w:tentative="1">
      <w:start w:val="1"/>
      <w:numFmt w:val="bullet"/>
      <w:lvlText w:val="•"/>
      <w:lvlJc w:val="left"/>
      <w:pPr>
        <w:tabs>
          <w:tab w:val="num" w:pos="2880"/>
        </w:tabs>
        <w:ind w:left="2880" w:hanging="360"/>
      </w:pPr>
      <w:rPr>
        <w:rFonts w:ascii="Arial" w:hAnsi="Arial" w:hint="default"/>
      </w:rPr>
    </w:lvl>
    <w:lvl w:ilvl="4" w:tplc="B4D24B70" w:tentative="1">
      <w:start w:val="1"/>
      <w:numFmt w:val="bullet"/>
      <w:lvlText w:val="•"/>
      <w:lvlJc w:val="left"/>
      <w:pPr>
        <w:tabs>
          <w:tab w:val="num" w:pos="3600"/>
        </w:tabs>
        <w:ind w:left="3600" w:hanging="360"/>
      </w:pPr>
      <w:rPr>
        <w:rFonts w:ascii="Arial" w:hAnsi="Arial" w:hint="default"/>
      </w:rPr>
    </w:lvl>
    <w:lvl w:ilvl="5" w:tplc="58AAD150" w:tentative="1">
      <w:start w:val="1"/>
      <w:numFmt w:val="bullet"/>
      <w:lvlText w:val="•"/>
      <w:lvlJc w:val="left"/>
      <w:pPr>
        <w:tabs>
          <w:tab w:val="num" w:pos="4320"/>
        </w:tabs>
        <w:ind w:left="4320" w:hanging="360"/>
      </w:pPr>
      <w:rPr>
        <w:rFonts w:ascii="Arial" w:hAnsi="Arial" w:hint="default"/>
      </w:rPr>
    </w:lvl>
    <w:lvl w:ilvl="6" w:tplc="9D5095A4" w:tentative="1">
      <w:start w:val="1"/>
      <w:numFmt w:val="bullet"/>
      <w:lvlText w:val="•"/>
      <w:lvlJc w:val="left"/>
      <w:pPr>
        <w:tabs>
          <w:tab w:val="num" w:pos="5040"/>
        </w:tabs>
        <w:ind w:left="5040" w:hanging="360"/>
      </w:pPr>
      <w:rPr>
        <w:rFonts w:ascii="Arial" w:hAnsi="Arial" w:hint="default"/>
      </w:rPr>
    </w:lvl>
    <w:lvl w:ilvl="7" w:tplc="37DC4036" w:tentative="1">
      <w:start w:val="1"/>
      <w:numFmt w:val="bullet"/>
      <w:lvlText w:val="•"/>
      <w:lvlJc w:val="left"/>
      <w:pPr>
        <w:tabs>
          <w:tab w:val="num" w:pos="5760"/>
        </w:tabs>
        <w:ind w:left="5760" w:hanging="360"/>
      </w:pPr>
      <w:rPr>
        <w:rFonts w:ascii="Arial" w:hAnsi="Arial" w:hint="default"/>
      </w:rPr>
    </w:lvl>
    <w:lvl w:ilvl="8" w:tplc="CF92B3C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B2000EB"/>
    <w:multiLevelType w:val="hybridMultilevel"/>
    <w:tmpl w:val="D842E79A"/>
    <w:lvl w:ilvl="0" w:tplc="97E8459E">
      <w:start w:val="1"/>
      <w:numFmt w:val="bullet"/>
      <w:lvlText w:val="•"/>
      <w:lvlJc w:val="left"/>
      <w:pPr>
        <w:tabs>
          <w:tab w:val="num" w:pos="720"/>
        </w:tabs>
        <w:ind w:left="720" w:hanging="360"/>
      </w:pPr>
      <w:rPr>
        <w:rFonts w:ascii="Arial" w:hAnsi="Arial" w:hint="default"/>
      </w:rPr>
    </w:lvl>
    <w:lvl w:ilvl="1" w:tplc="0EDC86DA" w:tentative="1">
      <w:start w:val="1"/>
      <w:numFmt w:val="bullet"/>
      <w:lvlText w:val="•"/>
      <w:lvlJc w:val="left"/>
      <w:pPr>
        <w:tabs>
          <w:tab w:val="num" w:pos="1440"/>
        </w:tabs>
        <w:ind w:left="1440" w:hanging="360"/>
      </w:pPr>
      <w:rPr>
        <w:rFonts w:ascii="Arial" w:hAnsi="Arial" w:hint="default"/>
      </w:rPr>
    </w:lvl>
    <w:lvl w:ilvl="2" w:tplc="C7023CBA" w:tentative="1">
      <w:start w:val="1"/>
      <w:numFmt w:val="bullet"/>
      <w:lvlText w:val="•"/>
      <w:lvlJc w:val="left"/>
      <w:pPr>
        <w:tabs>
          <w:tab w:val="num" w:pos="2160"/>
        </w:tabs>
        <w:ind w:left="2160" w:hanging="360"/>
      </w:pPr>
      <w:rPr>
        <w:rFonts w:ascii="Arial" w:hAnsi="Arial" w:hint="default"/>
      </w:rPr>
    </w:lvl>
    <w:lvl w:ilvl="3" w:tplc="284AFCEE" w:tentative="1">
      <w:start w:val="1"/>
      <w:numFmt w:val="bullet"/>
      <w:lvlText w:val="•"/>
      <w:lvlJc w:val="left"/>
      <w:pPr>
        <w:tabs>
          <w:tab w:val="num" w:pos="2880"/>
        </w:tabs>
        <w:ind w:left="2880" w:hanging="360"/>
      </w:pPr>
      <w:rPr>
        <w:rFonts w:ascii="Arial" w:hAnsi="Arial" w:hint="default"/>
      </w:rPr>
    </w:lvl>
    <w:lvl w:ilvl="4" w:tplc="BE7411D2" w:tentative="1">
      <w:start w:val="1"/>
      <w:numFmt w:val="bullet"/>
      <w:lvlText w:val="•"/>
      <w:lvlJc w:val="left"/>
      <w:pPr>
        <w:tabs>
          <w:tab w:val="num" w:pos="3600"/>
        </w:tabs>
        <w:ind w:left="3600" w:hanging="360"/>
      </w:pPr>
      <w:rPr>
        <w:rFonts w:ascii="Arial" w:hAnsi="Arial" w:hint="default"/>
      </w:rPr>
    </w:lvl>
    <w:lvl w:ilvl="5" w:tplc="0220FE36" w:tentative="1">
      <w:start w:val="1"/>
      <w:numFmt w:val="bullet"/>
      <w:lvlText w:val="•"/>
      <w:lvlJc w:val="left"/>
      <w:pPr>
        <w:tabs>
          <w:tab w:val="num" w:pos="4320"/>
        </w:tabs>
        <w:ind w:left="4320" w:hanging="360"/>
      </w:pPr>
      <w:rPr>
        <w:rFonts w:ascii="Arial" w:hAnsi="Arial" w:hint="default"/>
      </w:rPr>
    </w:lvl>
    <w:lvl w:ilvl="6" w:tplc="1A8A8504" w:tentative="1">
      <w:start w:val="1"/>
      <w:numFmt w:val="bullet"/>
      <w:lvlText w:val="•"/>
      <w:lvlJc w:val="left"/>
      <w:pPr>
        <w:tabs>
          <w:tab w:val="num" w:pos="5040"/>
        </w:tabs>
        <w:ind w:left="5040" w:hanging="360"/>
      </w:pPr>
      <w:rPr>
        <w:rFonts w:ascii="Arial" w:hAnsi="Arial" w:hint="default"/>
      </w:rPr>
    </w:lvl>
    <w:lvl w:ilvl="7" w:tplc="6BAE94B2" w:tentative="1">
      <w:start w:val="1"/>
      <w:numFmt w:val="bullet"/>
      <w:lvlText w:val="•"/>
      <w:lvlJc w:val="left"/>
      <w:pPr>
        <w:tabs>
          <w:tab w:val="num" w:pos="5760"/>
        </w:tabs>
        <w:ind w:left="5760" w:hanging="360"/>
      </w:pPr>
      <w:rPr>
        <w:rFonts w:ascii="Arial" w:hAnsi="Arial" w:hint="default"/>
      </w:rPr>
    </w:lvl>
    <w:lvl w:ilvl="8" w:tplc="1088B44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C950374"/>
    <w:multiLevelType w:val="hybridMultilevel"/>
    <w:tmpl w:val="6166EBBE"/>
    <w:lvl w:ilvl="0" w:tplc="59301D56">
      <w:start w:val="1"/>
      <w:numFmt w:val="bullet"/>
      <w:lvlText w:val="•"/>
      <w:lvlJc w:val="left"/>
      <w:pPr>
        <w:tabs>
          <w:tab w:val="num" w:pos="720"/>
        </w:tabs>
        <w:ind w:left="720" w:hanging="360"/>
      </w:pPr>
      <w:rPr>
        <w:rFonts w:ascii="Arial" w:hAnsi="Arial" w:hint="default"/>
      </w:rPr>
    </w:lvl>
    <w:lvl w:ilvl="1" w:tplc="CE44B328" w:tentative="1">
      <w:start w:val="1"/>
      <w:numFmt w:val="bullet"/>
      <w:lvlText w:val="•"/>
      <w:lvlJc w:val="left"/>
      <w:pPr>
        <w:tabs>
          <w:tab w:val="num" w:pos="1440"/>
        </w:tabs>
        <w:ind w:left="1440" w:hanging="360"/>
      </w:pPr>
      <w:rPr>
        <w:rFonts w:ascii="Arial" w:hAnsi="Arial" w:hint="default"/>
      </w:rPr>
    </w:lvl>
    <w:lvl w:ilvl="2" w:tplc="8AA0C3FA" w:tentative="1">
      <w:start w:val="1"/>
      <w:numFmt w:val="bullet"/>
      <w:lvlText w:val="•"/>
      <w:lvlJc w:val="left"/>
      <w:pPr>
        <w:tabs>
          <w:tab w:val="num" w:pos="2160"/>
        </w:tabs>
        <w:ind w:left="2160" w:hanging="360"/>
      </w:pPr>
      <w:rPr>
        <w:rFonts w:ascii="Arial" w:hAnsi="Arial" w:hint="default"/>
      </w:rPr>
    </w:lvl>
    <w:lvl w:ilvl="3" w:tplc="C83895A6" w:tentative="1">
      <w:start w:val="1"/>
      <w:numFmt w:val="bullet"/>
      <w:lvlText w:val="•"/>
      <w:lvlJc w:val="left"/>
      <w:pPr>
        <w:tabs>
          <w:tab w:val="num" w:pos="2880"/>
        </w:tabs>
        <w:ind w:left="2880" w:hanging="360"/>
      </w:pPr>
      <w:rPr>
        <w:rFonts w:ascii="Arial" w:hAnsi="Arial" w:hint="default"/>
      </w:rPr>
    </w:lvl>
    <w:lvl w:ilvl="4" w:tplc="949EEDC2" w:tentative="1">
      <w:start w:val="1"/>
      <w:numFmt w:val="bullet"/>
      <w:lvlText w:val="•"/>
      <w:lvlJc w:val="left"/>
      <w:pPr>
        <w:tabs>
          <w:tab w:val="num" w:pos="3600"/>
        </w:tabs>
        <w:ind w:left="3600" w:hanging="360"/>
      </w:pPr>
      <w:rPr>
        <w:rFonts w:ascii="Arial" w:hAnsi="Arial" w:hint="default"/>
      </w:rPr>
    </w:lvl>
    <w:lvl w:ilvl="5" w:tplc="B2AE3950" w:tentative="1">
      <w:start w:val="1"/>
      <w:numFmt w:val="bullet"/>
      <w:lvlText w:val="•"/>
      <w:lvlJc w:val="left"/>
      <w:pPr>
        <w:tabs>
          <w:tab w:val="num" w:pos="4320"/>
        </w:tabs>
        <w:ind w:left="4320" w:hanging="360"/>
      </w:pPr>
      <w:rPr>
        <w:rFonts w:ascii="Arial" w:hAnsi="Arial" w:hint="default"/>
      </w:rPr>
    </w:lvl>
    <w:lvl w:ilvl="6" w:tplc="3CFE3B88" w:tentative="1">
      <w:start w:val="1"/>
      <w:numFmt w:val="bullet"/>
      <w:lvlText w:val="•"/>
      <w:lvlJc w:val="left"/>
      <w:pPr>
        <w:tabs>
          <w:tab w:val="num" w:pos="5040"/>
        </w:tabs>
        <w:ind w:left="5040" w:hanging="360"/>
      </w:pPr>
      <w:rPr>
        <w:rFonts w:ascii="Arial" w:hAnsi="Arial" w:hint="default"/>
      </w:rPr>
    </w:lvl>
    <w:lvl w:ilvl="7" w:tplc="62F0ECE4" w:tentative="1">
      <w:start w:val="1"/>
      <w:numFmt w:val="bullet"/>
      <w:lvlText w:val="•"/>
      <w:lvlJc w:val="left"/>
      <w:pPr>
        <w:tabs>
          <w:tab w:val="num" w:pos="5760"/>
        </w:tabs>
        <w:ind w:left="5760" w:hanging="360"/>
      </w:pPr>
      <w:rPr>
        <w:rFonts w:ascii="Arial" w:hAnsi="Arial" w:hint="default"/>
      </w:rPr>
    </w:lvl>
    <w:lvl w:ilvl="8" w:tplc="9AD8C514" w:tentative="1">
      <w:start w:val="1"/>
      <w:numFmt w:val="bullet"/>
      <w:lvlText w:val="•"/>
      <w:lvlJc w:val="left"/>
      <w:pPr>
        <w:tabs>
          <w:tab w:val="num" w:pos="6480"/>
        </w:tabs>
        <w:ind w:left="6480" w:hanging="360"/>
      </w:pPr>
      <w:rPr>
        <w:rFonts w:ascii="Arial" w:hAnsi="Arial" w:hint="default"/>
      </w:rPr>
    </w:lvl>
  </w:abstractNum>
  <w:num w:numId="1" w16cid:durableId="2014331851">
    <w:abstractNumId w:val="1"/>
  </w:num>
  <w:num w:numId="2" w16cid:durableId="298537863">
    <w:abstractNumId w:val="2"/>
  </w:num>
  <w:num w:numId="3" w16cid:durableId="5216265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6FD9"/>
    <w:rsid w:val="00013EFC"/>
    <w:rsid w:val="00017E33"/>
    <w:rsid w:val="000255E8"/>
    <w:rsid w:val="000326E9"/>
    <w:rsid w:val="00056BFF"/>
    <w:rsid w:val="00090DAD"/>
    <w:rsid w:val="00091A49"/>
    <w:rsid w:val="000A25FF"/>
    <w:rsid w:val="000D0268"/>
    <w:rsid w:val="000E1679"/>
    <w:rsid w:val="000F3A9B"/>
    <w:rsid w:val="001045B3"/>
    <w:rsid w:val="001105C7"/>
    <w:rsid w:val="00136637"/>
    <w:rsid w:val="00161EDE"/>
    <w:rsid w:val="001714BC"/>
    <w:rsid w:val="001978E0"/>
    <w:rsid w:val="001A0990"/>
    <w:rsid w:val="001A30F4"/>
    <w:rsid w:val="001A39A8"/>
    <w:rsid w:val="001B391D"/>
    <w:rsid w:val="001B6BFC"/>
    <w:rsid w:val="001C76DD"/>
    <w:rsid w:val="00233F7D"/>
    <w:rsid w:val="00247C2F"/>
    <w:rsid w:val="00277B8A"/>
    <w:rsid w:val="00282D1B"/>
    <w:rsid w:val="0029377A"/>
    <w:rsid w:val="002B1083"/>
    <w:rsid w:val="002C08A4"/>
    <w:rsid w:val="002D2A4D"/>
    <w:rsid w:val="002D484C"/>
    <w:rsid w:val="002D4E35"/>
    <w:rsid w:val="002D7757"/>
    <w:rsid w:val="003210C9"/>
    <w:rsid w:val="00321114"/>
    <w:rsid w:val="00326034"/>
    <w:rsid w:val="00374C59"/>
    <w:rsid w:val="0037524D"/>
    <w:rsid w:val="003B46A9"/>
    <w:rsid w:val="003C61B4"/>
    <w:rsid w:val="003D3197"/>
    <w:rsid w:val="003F21D2"/>
    <w:rsid w:val="003F2426"/>
    <w:rsid w:val="00402DB3"/>
    <w:rsid w:val="004066D3"/>
    <w:rsid w:val="004335AB"/>
    <w:rsid w:val="00435155"/>
    <w:rsid w:val="00443897"/>
    <w:rsid w:val="00473815"/>
    <w:rsid w:val="0049687E"/>
    <w:rsid w:val="004C1574"/>
    <w:rsid w:val="004D6590"/>
    <w:rsid w:val="004D75EC"/>
    <w:rsid w:val="005019E7"/>
    <w:rsid w:val="005043FA"/>
    <w:rsid w:val="00505D7E"/>
    <w:rsid w:val="005208C8"/>
    <w:rsid w:val="005444C7"/>
    <w:rsid w:val="00561934"/>
    <w:rsid w:val="00574822"/>
    <w:rsid w:val="005E6CF2"/>
    <w:rsid w:val="005F52EE"/>
    <w:rsid w:val="005F53C7"/>
    <w:rsid w:val="005F6AD5"/>
    <w:rsid w:val="005F7B47"/>
    <w:rsid w:val="006315FB"/>
    <w:rsid w:val="006618D3"/>
    <w:rsid w:val="00684803"/>
    <w:rsid w:val="006B5D4C"/>
    <w:rsid w:val="006D0EC9"/>
    <w:rsid w:val="00705605"/>
    <w:rsid w:val="00706BA2"/>
    <w:rsid w:val="00716DB2"/>
    <w:rsid w:val="00726C18"/>
    <w:rsid w:val="0075204F"/>
    <w:rsid w:val="00760203"/>
    <w:rsid w:val="00770457"/>
    <w:rsid w:val="007A07E8"/>
    <w:rsid w:val="007A2A15"/>
    <w:rsid w:val="007B10B1"/>
    <w:rsid w:val="007B130E"/>
    <w:rsid w:val="007B6D26"/>
    <w:rsid w:val="007D0195"/>
    <w:rsid w:val="00801775"/>
    <w:rsid w:val="00813A72"/>
    <w:rsid w:val="008155E5"/>
    <w:rsid w:val="008506F9"/>
    <w:rsid w:val="0087273E"/>
    <w:rsid w:val="0088386C"/>
    <w:rsid w:val="00896B1C"/>
    <w:rsid w:val="008D2A42"/>
    <w:rsid w:val="008D5645"/>
    <w:rsid w:val="008E3D5A"/>
    <w:rsid w:val="008E54E5"/>
    <w:rsid w:val="008F7641"/>
    <w:rsid w:val="00985296"/>
    <w:rsid w:val="009E2964"/>
    <w:rsid w:val="009F5982"/>
    <w:rsid w:val="009F6FE5"/>
    <w:rsid w:val="00A020BB"/>
    <w:rsid w:val="00A26375"/>
    <w:rsid w:val="00A279A3"/>
    <w:rsid w:val="00A42089"/>
    <w:rsid w:val="00A420B0"/>
    <w:rsid w:val="00A44E8D"/>
    <w:rsid w:val="00A468D3"/>
    <w:rsid w:val="00A905E6"/>
    <w:rsid w:val="00AA6233"/>
    <w:rsid w:val="00AB3D2E"/>
    <w:rsid w:val="00AB679B"/>
    <w:rsid w:val="00AD1D7B"/>
    <w:rsid w:val="00B247FA"/>
    <w:rsid w:val="00B32F21"/>
    <w:rsid w:val="00B40D63"/>
    <w:rsid w:val="00B4588D"/>
    <w:rsid w:val="00B84EB2"/>
    <w:rsid w:val="00B93646"/>
    <w:rsid w:val="00BD135A"/>
    <w:rsid w:val="00BD19F9"/>
    <w:rsid w:val="00BD381C"/>
    <w:rsid w:val="00BD6913"/>
    <w:rsid w:val="00C10B8A"/>
    <w:rsid w:val="00C13155"/>
    <w:rsid w:val="00C149D1"/>
    <w:rsid w:val="00C177FE"/>
    <w:rsid w:val="00C179C6"/>
    <w:rsid w:val="00C22494"/>
    <w:rsid w:val="00C24288"/>
    <w:rsid w:val="00C25990"/>
    <w:rsid w:val="00C350DA"/>
    <w:rsid w:val="00C6518F"/>
    <w:rsid w:val="00C73133"/>
    <w:rsid w:val="00C84CDC"/>
    <w:rsid w:val="00C91F92"/>
    <w:rsid w:val="00C95388"/>
    <w:rsid w:val="00CB7910"/>
    <w:rsid w:val="00CC025E"/>
    <w:rsid w:val="00CC567A"/>
    <w:rsid w:val="00CC5963"/>
    <w:rsid w:val="00D24739"/>
    <w:rsid w:val="00D470A1"/>
    <w:rsid w:val="00D56FD9"/>
    <w:rsid w:val="00D6243C"/>
    <w:rsid w:val="00D6747E"/>
    <w:rsid w:val="00D73841"/>
    <w:rsid w:val="00D7509E"/>
    <w:rsid w:val="00D86E5C"/>
    <w:rsid w:val="00DE796F"/>
    <w:rsid w:val="00E0539F"/>
    <w:rsid w:val="00E115E4"/>
    <w:rsid w:val="00E21048"/>
    <w:rsid w:val="00E26E36"/>
    <w:rsid w:val="00E60B5B"/>
    <w:rsid w:val="00E658D3"/>
    <w:rsid w:val="00E74C84"/>
    <w:rsid w:val="00E80B31"/>
    <w:rsid w:val="00E81976"/>
    <w:rsid w:val="00E85EBC"/>
    <w:rsid w:val="00EC0C3A"/>
    <w:rsid w:val="00EC535B"/>
    <w:rsid w:val="00EF5FB5"/>
    <w:rsid w:val="00EF7EFF"/>
    <w:rsid w:val="00F066CF"/>
    <w:rsid w:val="00F10856"/>
    <w:rsid w:val="00F265EB"/>
    <w:rsid w:val="00F536A4"/>
    <w:rsid w:val="00F56CCC"/>
    <w:rsid w:val="00F753F1"/>
    <w:rsid w:val="00F94A77"/>
    <w:rsid w:val="00FB0192"/>
    <w:rsid w:val="00FB7C84"/>
    <w:rsid w:val="00FE5C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BB957E"/>
  <w15:chartTrackingRefBased/>
  <w15:docId w15:val="{DC57F7DD-FEE0-5147-9A6B-EF3390D72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6375"/>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D56F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56F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56FD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56FD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56FD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56FD9"/>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56FD9"/>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56FD9"/>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56FD9"/>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56FD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56FD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56FD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56FD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56FD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56FD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56FD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56FD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56FD9"/>
    <w:rPr>
      <w:rFonts w:eastAsiaTheme="majorEastAsia" w:cstheme="majorBidi"/>
      <w:color w:val="272727" w:themeColor="text1" w:themeTint="D8"/>
    </w:rPr>
  </w:style>
  <w:style w:type="paragraph" w:styleId="Title">
    <w:name w:val="Title"/>
    <w:basedOn w:val="Normal"/>
    <w:next w:val="Normal"/>
    <w:link w:val="TitleChar"/>
    <w:uiPriority w:val="10"/>
    <w:qFormat/>
    <w:rsid w:val="00D56FD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56FD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56F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56FD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56FD9"/>
    <w:pPr>
      <w:spacing w:before="160"/>
      <w:jc w:val="center"/>
    </w:pPr>
    <w:rPr>
      <w:i/>
      <w:iCs/>
      <w:color w:val="404040" w:themeColor="text1" w:themeTint="BF"/>
    </w:rPr>
  </w:style>
  <w:style w:type="character" w:customStyle="1" w:styleId="QuoteChar">
    <w:name w:val="Quote Char"/>
    <w:basedOn w:val="DefaultParagraphFont"/>
    <w:link w:val="Quote"/>
    <w:uiPriority w:val="29"/>
    <w:rsid w:val="00D56FD9"/>
    <w:rPr>
      <w:i/>
      <w:iCs/>
      <w:color w:val="404040" w:themeColor="text1" w:themeTint="BF"/>
    </w:rPr>
  </w:style>
  <w:style w:type="paragraph" w:styleId="ListParagraph">
    <w:name w:val="List Paragraph"/>
    <w:basedOn w:val="Normal"/>
    <w:uiPriority w:val="34"/>
    <w:qFormat/>
    <w:rsid w:val="00D56FD9"/>
    <w:pPr>
      <w:ind w:left="720"/>
      <w:contextualSpacing/>
    </w:pPr>
  </w:style>
  <w:style w:type="character" w:styleId="IntenseEmphasis">
    <w:name w:val="Intense Emphasis"/>
    <w:basedOn w:val="DefaultParagraphFont"/>
    <w:uiPriority w:val="21"/>
    <w:qFormat/>
    <w:rsid w:val="00D56FD9"/>
    <w:rPr>
      <w:i/>
      <w:iCs/>
      <w:color w:val="0F4761" w:themeColor="accent1" w:themeShade="BF"/>
    </w:rPr>
  </w:style>
  <w:style w:type="paragraph" w:styleId="IntenseQuote">
    <w:name w:val="Intense Quote"/>
    <w:basedOn w:val="Normal"/>
    <w:next w:val="Normal"/>
    <w:link w:val="IntenseQuoteChar"/>
    <w:uiPriority w:val="30"/>
    <w:qFormat/>
    <w:rsid w:val="00D56FD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56FD9"/>
    <w:rPr>
      <w:i/>
      <w:iCs/>
      <w:color w:val="0F4761" w:themeColor="accent1" w:themeShade="BF"/>
    </w:rPr>
  </w:style>
  <w:style w:type="character" w:styleId="IntenseReference">
    <w:name w:val="Intense Reference"/>
    <w:basedOn w:val="DefaultParagraphFont"/>
    <w:uiPriority w:val="32"/>
    <w:qFormat/>
    <w:rsid w:val="00D56FD9"/>
    <w:rPr>
      <w:b/>
      <w:bCs/>
      <w:smallCaps/>
      <w:color w:val="0F4761" w:themeColor="accent1" w:themeShade="BF"/>
      <w:spacing w:val="5"/>
    </w:rPr>
  </w:style>
  <w:style w:type="paragraph" w:styleId="Caption">
    <w:name w:val="caption"/>
    <w:basedOn w:val="Normal"/>
    <w:next w:val="Normal"/>
    <w:uiPriority w:val="35"/>
    <w:unhideWhenUsed/>
    <w:qFormat/>
    <w:rsid w:val="00E26E36"/>
    <w:pPr>
      <w:spacing w:after="200"/>
    </w:pPr>
    <w:rPr>
      <w:i/>
      <w:iCs/>
      <w:color w:val="0E2841" w:themeColor="text2"/>
      <w:sz w:val="18"/>
      <w:szCs w:val="18"/>
    </w:rPr>
  </w:style>
  <w:style w:type="character" w:styleId="Hyperlink">
    <w:name w:val="Hyperlink"/>
    <w:basedOn w:val="DefaultParagraphFont"/>
    <w:uiPriority w:val="99"/>
    <w:unhideWhenUsed/>
    <w:rsid w:val="004C1574"/>
    <w:rPr>
      <w:color w:val="467886" w:themeColor="hyperlink"/>
      <w:u w:val="single"/>
    </w:rPr>
  </w:style>
  <w:style w:type="character" w:styleId="UnresolvedMention">
    <w:name w:val="Unresolved Mention"/>
    <w:basedOn w:val="DefaultParagraphFont"/>
    <w:uiPriority w:val="99"/>
    <w:semiHidden/>
    <w:unhideWhenUsed/>
    <w:rsid w:val="004C1574"/>
    <w:rPr>
      <w:color w:val="605E5C"/>
      <w:shd w:val="clear" w:color="auto" w:fill="E1DFDD"/>
    </w:rPr>
  </w:style>
  <w:style w:type="paragraph" w:styleId="NormalWeb">
    <w:name w:val="Normal (Web)"/>
    <w:basedOn w:val="Normal"/>
    <w:uiPriority w:val="99"/>
    <w:unhideWhenUsed/>
    <w:rsid w:val="004C1574"/>
    <w:pPr>
      <w:spacing w:before="100" w:beforeAutospacing="1" w:after="100" w:afterAutospacing="1"/>
    </w:pPr>
  </w:style>
  <w:style w:type="table" w:styleId="TableGrid">
    <w:name w:val="Table Grid"/>
    <w:basedOn w:val="TableNormal"/>
    <w:uiPriority w:val="39"/>
    <w:rsid w:val="00F536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37524D"/>
    <w:pPr>
      <w:spacing w:line="480" w:lineRule="auto"/>
      <w:ind w:left="720" w:hanging="720"/>
    </w:pPr>
  </w:style>
  <w:style w:type="character" w:styleId="FollowedHyperlink">
    <w:name w:val="FollowedHyperlink"/>
    <w:basedOn w:val="DefaultParagraphFont"/>
    <w:uiPriority w:val="99"/>
    <w:semiHidden/>
    <w:unhideWhenUsed/>
    <w:rsid w:val="00090DAD"/>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eferson.gabriel@gmail.com" TargetMode="External"/><Relationship Id="rId13" Type="http://schemas.openxmlformats.org/officeDocument/2006/relationships/hyperlink" Target="https://orcid.org/0000-0003-1707-8392"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s://orcid.org/0009-0009-4180-8595" TargetMode="External"/><Relationship Id="rId12" Type="http://schemas.openxmlformats.org/officeDocument/2006/relationships/hyperlink" Target="mailto:allan.iwama@gmail.com" TargetMode="Externa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hyperlink" Target="mailto:julianna.toyota@gmail.com" TargetMode="External"/><Relationship Id="rId11" Type="http://schemas.openxmlformats.org/officeDocument/2006/relationships/hyperlink" Target="https://orcid.org/0000-0002-4924-1257" TargetMode="Externa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yperlink" Target="mailto:blande.viana@gmail.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orcid.org/0000-0002-0694-0760" TargetMode="External"/><Relationship Id="rId14" Type="http://schemas.openxmlformats.org/officeDocument/2006/relationships/hyperlink" Target="https://fiocruz.br/ciencia-abert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8178B3-C68D-FC44-99EE-30938F4DEA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TotalTime>
  <Pages>10</Pages>
  <Words>4780</Words>
  <Characters>27251</Characters>
  <Application>Microsoft Office Word</Application>
  <DocSecurity>0</DocSecurity>
  <Lines>227</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Julianna To</dc:creator>
  <cp:keywords/>
  <dc:description/>
  <cp:lastModifiedBy>Julianna To</cp:lastModifiedBy>
  <cp:revision>6</cp:revision>
  <dcterms:created xsi:type="dcterms:W3CDTF">2025-11-11T02:10:00Z</dcterms:created>
  <dcterms:modified xsi:type="dcterms:W3CDTF">2025-11-26T04:20:00Z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zotero-version="7.0.29"&gt;&lt;session id="FyZcvjPo"/&gt;&lt;style id="http://www.zotero.org/styles/apa" locale="pt-BR" hasBibliography="1" bibliographyStyleHasBeenSet="1"/&gt;&lt;prefs&gt;&lt;pref name="fieldType" value="Field"/&gt;&lt;/prefs&gt;&lt;/data&gt;</vt:lpwstr>
  </property>
</Properties>
</file>